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22F37"/>
          <w:sz w:val="40"/>
        </w:rPr>
        <w:t>CASE STUDY REPORT: ALCOHOLIC BEVERAGE SECTOR</w:t>
        <w:br/>
        <w:t>Wine Quality Intelligence &amp; Predictive Modeling</w:t>
      </w:r>
    </w:p>
    <w:p>
      <w:pPr>
        <w:jc w:val="center"/>
      </w:pPr>
      <w:r>
        <w:rPr>
          <w:i/>
          <w:sz w:val="22"/>
        </w:rPr>
        <w:t>Client: Screaming Eagle Winery &amp; Global Vineyard Stakeholders</w:t>
        <w:br/>
        <w:t>Author: Lead Data Science Team | Date: October 2026</w:t>
        <w:br/>
      </w:r>
    </w:p>
    <w:p>
      <w:pPr>
        <w:pStyle w:val="Heading1"/>
      </w:pPr>
      <w:r>
        <w:t>1. Executive Summary</w:t>
      </w:r>
    </w:p>
    <w:p>
      <w:r>
        <w:t>In the global alcoholic beverage sector, sensory quality is the single most critical determinant of brand reputation, consumer loyalty, and pricing power. This study investigates the physicochemical signatures of 6,497 red and white wine samples to discover the key drivers of wine quality, deliver an interactive Streamlit analytics platform, and deploy predictive machine learning models to standardize quality at production scale.</w:t>
      </w:r>
    </w:p>
    <w:p>
      <w:r>
        <w:t>Key Takeaway: Wine quality is primarily governed by Alcohol (+0.44 correlation), Volatile Acidity (-0.27 correlation), and Density (-0.31 correlation). A production Random Forest classifier predicts premium vintage quality with 88.00% accuracy and 0.9069 ROC-AUC, enabling proactive cellar interventions before bottling.</w:t>
      </w:r>
    </w:p>
    <w:p>
      <w:pPr>
        <w:pStyle w:val="Heading1"/>
      </w:pPr>
      <w:r>
        <w:t>2. Domain Understanding &amp; Physicochemical Chemistry</w:t>
      </w:r>
    </w:p>
    <w:p>
      <w:r>
        <w:t>Wine quality depends on the harmonious interaction of chemical composition and sensory characteristics:</w:t>
      </w:r>
    </w:p>
    <w:p>
      <w:pPr>
        <w:pStyle w:val="ListBullet"/>
      </w:pPr>
      <w:r>
        <w:rPr>
          <w:b/>
        </w:rPr>
        <w:t xml:space="preserve">Fixed Acidity: </w:t>
      </w:r>
      <w:r>
        <w:t>Tartaric, malic, and citric acids providing foundational structural acidity and crispness.</w:t>
      </w:r>
    </w:p>
    <w:p>
      <w:pPr>
        <w:pStyle w:val="ListBullet"/>
      </w:pPr>
      <w:r>
        <w:rPr>
          <w:b/>
        </w:rPr>
        <w:t xml:space="preserve">Volatile Acidity: </w:t>
      </w:r>
      <w:r>
        <w:t>Acetic acid concentration. High volatile acidity (&gt;0.50 g/L) causes an undesirable vinegar flaw.</w:t>
      </w:r>
    </w:p>
    <w:p>
      <w:pPr>
        <w:pStyle w:val="ListBullet"/>
      </w:pPr>
      <w:r>
        <w:rPr>
          <w:b/>
        </w:rPr>
        <w:t xml:space="preserve">Residual Sugar: </w:t>
      </w:r>
      <w:r>
        <w:t>Post-fermentation sugar balancing perceived astringency and alcohol warmth.</w:t>
      </w:r>
    </w:p>
    <w:p>
      <w:pPr>
        <w:pStyle w:val="ListBullet"/>
      </w:pPr>
      <w:r>
        <w:rPr>
          <w:b/>
        </w:rPr>
        <w:t xml:space="preserve">Chlorides: </w:t>
      </w:r>
      <w:r>
        <w:t>Salt minerals that influence mouthfeel and body weight.</w:t>
      </w:r>
    </w:p>
    <w:p>
      <w:pPr>
        <w:pStyle w:val="ListBullet"/>
      </w:pPr>
      <w:r>
        <w:rPr>
          <w:b/>
        </w:rPr>
        <w:t xml:space="preserve">Sulfur Dioxide (Free &amp; Total SO2): </w:t>
      </w:r>
      <w:r>
        <w:t>Antioxidant and antimicrobial protection crucial for aging stability.</w:t>
      </w:r>
    </w:p>
    <w:p>
      <w:pPr>
        <w:pStyle w:val="ListBullet"/>
      </w:pPr>
      <w:r>
        <w:rPr>
          <w:b/>
        </w:rPr>
        <w:t xml:space="preserve">Density: </w:t>
      </w:r>
      <w:r>
        <w:t>Inversely related to alcohol and unfermented solids; lower density signifies complete fermentation.</w:t>
      </w:r>
    </w:p>
    <w:p>
      <w:pPr>
        <w:pStyle w:val="ListBullet"/>
      </w:pPr>
      <w:r>
        <w:rPr>
          <w:b/>
        </w:rPr>
        <w:t xml:space="preserve">pH: </w:t>
      </w:r>
      <w:r>
        <w:t>Measure of acidity/alkalinity; lower pH reinforces antimicrobial stability.</w:t>
      </w:r>
    </w:p>
    <w:p>
      <w:pPr>
        <w:pStyle w:val="ListBullet"/>
      </w:pPr>
      <w:r>
        <w:rPr>
          <w:b/>
        </w:rPr>
        <w:t xml:space="preserve">Sulphates: </w:t>
      </w:r>
      <w:r>
        <w:t>Potassium sulphate contributing to aroma freshness and microbial inhibition.</w:t>
      </w:r>
    </w:p>
    <w:p>
      <w:pPr>
        <w:pStyle w:val="ListBullet"/>
      </w:pPr>
      <w:r>
        <w:rPr>
          <w:b/>
        </w:rPr>
        <w:t xml:space="preserve">Alcohol: </w:t>
      </w:r>
      <w:r>
        <w:t>Determines warmth, viscosity, and aromatic vapor release.</w:t>
      </w:r>
    </w:p>
    <w:p>
      <w:pPr>
        <w:pStyle w:val="Heading1"/>
      </w:pPr>
      <w:r>
        <w:t>3. Sprint 1: Exploratory Data Analysis &amp; Chemical Drivers</w:t>
      </w:r>
    </w:p>
    <w:p>
      <w:r>
        <w:t>The dataset contains 6,497 rows and 14 columns (4,898 white wines and 1,599 red wines). Sensory quality scores follow a bell curve ranging from 3 to 9, with 76.6% concentrated at intermediate scores 5 and 6. Premium vintages (quality &gt;= 7) constitute 19.7% of all samples.</w:t>
      </w:r>
    </w:p>
    <w:p>
      <w:pPr>
        <w:pStyle w:val="Heading2"/>
      </w:pPr>
      <w:r>
        <w:t>Feature Significance Ranking (Correlations)</w:t>
      </w:r>
    </w:p>
    <w:tbl>
      <w:tblPr>
        <w:tblW w:type="auto" w:w="0"/>
        <w:jc w:val="center"/>
        <w:tblLook w:firstColumn="1" w:firstRow="1" w:lastColumn="0" w:lastRow="0" w:noHBand="0" w:noVBand="1" w:val="04A0"/>
      </w:tblPr>
      <w:tblGrid>
        <w:gridCol w:w="3120"/>
        <w:gridCol w:w="3120"/>
        <w:gridCol w:w="3120"/>
      </w:tblGrid>
      <w:tr>
        <w:tc>
          <w:tcPr>
            <w:tcW w:type="dxa" w:w="3120"/>
          </w:tcPr>
          <w:p>
            <w:r>
              <w:rPr>
                <w:b/>
              </w:rPr>
              <w:t>Chemical Feature</w:t>
            </w:r>
          </w:p>
        </w:tc>
        <w:tc>
          <w:tcPr>
            <w:tcW w:type="dxa" w:w="3120"/>
          </w:tcPr>
          <w:p>
            <w:r>
              <w:rPr>
                <w:b/>
              </w:rPr>
              <w:t>Corr. with Good (0/1)</w:t>
            </w:r>
          </w:p>
        </w:tc>
        <w:tc>
          <w:tcPr>
            <w:tcW w:type="dxa" w:w="3120"/>
          </w:tcPr>
          <w:p>
            <w:r>
              <w:rPr>
                <w:b/>
              </w:rPr>
              <w:t>Corr. with Quality (3-9)</w:t>
            </w:r>
          </w:p>
        </w:tc>
      </w:tr>
      <w:tr>
        <w:tc>
          <w:tcPr>
            <w:tcW w:type="dxa" w:w="3120"/>
          </w:tcPr>
          <w:p>
            <w:r>
              <w:t>Alcohol (% vol)</w:t>
            </w:r>
          </w:p>
        </w:tc>
        <w:tc>
          <w:tcPr>
            <w:tcW w:type="dxa" w:w="3120"/>
          </w:tcPr>
          <w:p>
            <w:r>
              <w:t>+0.390</w:t>
            </w:r>
          </w:p>
        </w:tc>
        <w:tc>
          <w:tcPr>
            <w:tcW w:type="dxa" w:w="3120"/>
          </w:tcPr>
          <w:p>
            <w:r>
              <w:t>+0.444</w:t>
            </w:r>
          </w:p>
        </w:tc>
      </w:tr>
      <w:tr>
        <w:tc>
          <w:tcPr>
            <w:tcW w:type="dxa" w:w="3120"/>
          </w:tcPr>
          <w:p>
            <w:r>
              <w:t>Density (g/cm³)</w:t>
            </w:r>
          </w:p>
        </w:tc>
        <w:tc>
          <w:tcPr>
            <w:tcW w:type="dxa" w:w="3120"/>
          </w:tcPr>
          <w:p>
            <w:r>
              <w:t>-0.275</w:t>
            </w:r>
          </w:p>
        </w:tc>
        <w:tc>
          <w:tcPr>
            <w:tcW w:type="dxa" w:w="3120"/>
          </w:tcPr>
          <w:p>
            <w:r>
              <w:t>-0.306</w:t>
            </w:r>
          </w:p>
        </w:tc>
      </w:tr>
      <w:tr>
        <w:tc>
          <w:tcPr>
            <w:tcW w:type="dxa" w:w="3120"/>
          </w:tcPr>
          <w:p>
            <w:r>
              <w:t>Volatile Acidity (g/L)</w:t>
            </w:r>
          </w:p>
        </w:tc>
        <w:tc>
          <w:tcPr>
            <w:tcW w:type="dxa" w:w="3120"/>
          </w:tcPr>
          <w:p>
            <w:r>
              <w:t>-0.152</w:t>
            </w:r>
          </w:p>
        </w:tc>
        <w:tc>
          <w:tcPr>
            <w:tcW w:type="dxa" w:w="3120"/>
          </w:tcPr>
          <w:p>
            <w:r>
              <w:t>-0.266</w:t>
            </w:r>
          </w:p>
        </w:tc>
      </w:tr>
      <w:tr>
        <w:tc>
          <w:tcPr>
            <w:tcW w:type="dxa" w:w="3120"/>
          </w:tcPr>
          <w:p>
            <w:r>
              <w:t>Chlorides (g/L)</w:t>
            </w:r>
          </w:p>
        </w:tc>
        <w:tc>
          <w:tcPr>
            <w:tcW w:type="dxa" w:w="3120"/>
          </w:tcPr>
          <w:p>
            <w:r>
              <w:t>-0.162</w:t>
            </w:r>
          </w:p>
        </w:tc>
        <w:tc>
          <w:tcPr>
            <w:tcW w:type="dxa" w:w="3120"/>
          </w:tcPr>
          <w:p>
            <w:r>
              <w:t>-0.201</w:t>
            </w:r>
          </w:p>
        </w:tc>
      </w:tr>
      <w:tr>
        <w:tc>
          <w:tcPr>
            <w:tcW w:type="dxa" w:w="3120"/>
          </w:tcPr>
          <w:p>
            <w:r>
              <w:t>Citric Acid (g/L)</w:t>
            </w:r>
          </w:p>
        </w:tc>
        <w:tc>
          <w:tcPr>
            <w:tcW w:type="dxa" w:w="3120"/>
          </w:tcPr>
          <w:p>
            <w:r>
              <w:t>+0.054</w:t>
            </w:r>
          </w:p>
        </w:tc>
        <w:tc>
          <w:tcPr>
            <w:tcW w:type="dxa" w:w="3120"/>
          </w:tcPr>
          <w:p>
            <w:r>
              <w:t>+0.086</w:t>
            </w:r>
          </w:p>
        </w:tc>
      </w:tr>
      <w:tr>
        <w:tc>
          <w:tcPr>
            <w:tcW w:type="dxa" w:w="3120"/>
          </w:tcPr>
          <w:p>
            <w:r>
              <w:t>Fixed Acidity (g/L)</w:t>
            </w:r>
          </w:p>
        </w:tc>
        <w:tc>
          <w:tcPr>
            <w:tcW w:type="dxa" w:w="3120"/>
          </w:tcPr>
          <w:p>
            <w:r>
              <w:t>-0.049</w:t>
            </w:r>
          </w:p>
        </w:tc>
        <w:tc>
          <w:tcPr>
            <w:tcW w:type="dxa" w:w="3120"/>
          </w:tcPr>
          <w:p>
            <w:r>
              <w:t>-0.077</w:t>
            </w:r>
          </w:p>
        </w:tc>
      </w:tr>
      <w:tr>
        <w:tc>
          <w:tcPr>
            <w:tcW w:type="dxa" w:w="3120"/>
          </w:tcPr>
          <w:p>
            <w:r>
              <w:t>Total Sulfur Dioxide (mg/L)</w:t>
            </w:r>
          </w:p>
        </w:tc>
        <w:tc>
          <w:tcPr>
            <w:tcW w:type="dxa" w:w="3120"/>
          </w:tcPr>
          <w:p>
            <w:r>
              <w:t>-0.051</w:t>
            </w:r>
          </w:p>
        </w:tc>
        <w:tc>
          <w:tcPr>
            <w:tcW w:type="dxa" w:w="3120"/>
          </w:tcPr>
          <w:p>
            <w:r>
              <w:t>-0.041</w:t>
            </w:r>
          </w:p>
        </w:tc>
      </w:tr>
      <w:tr>
        <w:tc>
          <w:tcPr>
            <w:tcW w:type="dxa" w:w="3120"/>
          </w:tcPr>
          <w:p>
            <w:r>
              <w:t>Residual Sugar (g/L)</w:t>
            </w:r>
          </w:p>
        </w:tc>
        <w:tc>
          <w:tcPr>
            <w:tcW w:type="dxa" w:w="3120"/>
          </w:tcPr>
          <w:p>
            <w:r>
              <w:t>-0.064</w:t>
            </w:r>
          </w:p>
        </w:tc>
        <w:tc>
          <w:tcPr>
            <w:tcW w:type="dxa" w:w="3120"/>
          </w:tcPr>
          <w:p>
            <w:r>
              <w:t>-0.037</w:t>
            </w:r>
          </w:p>
        </w:tc>
      </w:tr>
      <w:tr>
        <w:tc>
          <w:tcPr>
            <w:tcW w:type="dxa" w:w="3120"/>
          </w:tcPr>
          <w:p>
            <w:r>
              <w:t>Sulphates (g/L)</w:t>
            </w:r>
          </w:p>
        </w:tc>
        <w:tc>
          <w:tcPr>
            <w:tcW w:type="dxa" w:w="3120"/>
          </w:tcPr>
          <w:p>
            <w:r>
              <w:t>+0.034</w:t>
            </w:r>
          </w:p>
        </w:tc>
        <w:tc>
          <w:tcPr>
            <w:tcW w:type="dxa" w:w="3120"/>
          </w:tcPr>
          <w:p>
            <w:r>
              <w:t>+0.038</w:t>
            </w:r>
          </w:p>
        </w:tc>
      </w:tr>
      <w:tr>
        <w:tc>
          <w:tcPr>
            <w:tcW w:type="dxa" w:w="3120"/>
          </w:tcPr>
          <w:p>
            <w:r>
              <w:t>Free Sulfur Dioxide (mg/L)</w:t>
            </w:r>
          </w:p>
        </w:tc>
        <w:tc>
          <w:tcPr>
            <w:tcW w:type="dxa" w:w="3120"/>
          </w:tcPr>
          <w:p>
            <w:r>
              <w:t>+0.015</w:t>
            </w:r>
          </w:p>
        </w:tc>
        <w:tc>
          <w:tcPr>
            <w:tcW w:type="dxa" w:w="3120"/>
          </w:tcPr>
          <w:p>
            <w:r>
              <w:t>+0.055</w:t>
            </w:r>
          </w:p>
        </w:tc>
      </w:tr>
      <w:tr>
        <w:tc>
          <w:tcPr>
            <w:tcW w:type="dxa" w:w="3120"/>
          </w:tcPr>
          <w:p>
            <w:r>
              <w:t>pH Level</w:t>
            </w:r>
          </w:p>
        </w:tc>
        <w:tc>
          <w:tcPr>
            <w:tcW w:type="dxa" w:w="3120"/>
          </w:tcPr>
          <w:p>
            <w:r>
              <w:t>+0.028</w:t>
            </w:r>
          </w:p>
        </w:tc>
        <w:tc>
          <w:tcPr>
            <w:tcW w:type="dxa" w:w="3120"/>
          </w:tcPr>
          <w:p>
            <w:r>
              <w:t>+0.020</w:t>
            </w:r>
          </w:p>
        </w:tc>
      </w:tr>
    </w:tbl>
    <w:p/>
    <w:p>
      <w:pPr>
        <w:pStyle w:val="Heading1"/>
      </w:pPr>
      <w:r>
        <w:t>4. Sprint 2: Streamlit Interactive Data Dashboard</w:t>
      </w:r>
    </w:p>
    <w:p>
      <w:r>
        <w:t>To provide dynamic, interactive decision support for winery leadership, an enterprise Streamlit dashboard (app.py) was built. Key capabilities include:</w:t>
      </w:r>
    </w:p>
    <w:p>
      <w:pPr>
        <w:pStyle w:val="ListBullet"/>
      </w:pPr>
      <w:r>
        <w:t>Executive Overview with key KPIs (Total samples, % premium, average alcohol, volatile acidity, pH).</w:t>
      </w:r>
    </w:p>
    <w:p>
      <w:pPr>
        <w:pStyle w:val="ListBullet"/>
      </w:pPr>
      <w:r>
        <w:t>Interactive EDA Studio with dynamic Plotly histograms, box plots, Red vs White varietal contrasts, and correlation matrices.</w:t>
      </w:r>
    </w:p>
    <w:p>
      <w:pPr>
        <w:pStyle w:val="ListBullet"/>
      </w:pPr>
      <w:r>
        <w:t>Model Leaderboard &amp; Diagnostics featuring accuracy bar charts, confusion matrices, and feature importance rankings.</w:t>
      </w:r>
    </w:p>
    <w:p>
      <w:pPr>
        <w:pStyle w:val="ListBullet"/>
      </w:pPr>
      <w:r>
        <w:t>Real-Time Wine Quality Predictor: Sliders and one-click presets for rapid batch simulation with live probability gauges.</w:t>
      </w:r>
    </w:p>
    <w:p>
      <w:pPr>
        <w:pStyle w:val="ListBullet"/>
      </w:pPr>
      <w:r>
        <w:t>Strategic Winemaking SOPs providing tailored guidance on sulfur dioxide and temperature management.</w:t>
      </w:r>
    </w:p>
    <w:p>
      <w:pPr>
        <w:pStyle w:val="Heading1"/>
      </w:pPr>
      <w:r>
        <w:t>5. Sprint 3: Model Building &amp; Comparative Benchmark</w:t>
      </w:r>
    </w:p>
    <w:p>
      <w:r>
        <w:t>Data preparation and model building followed a rigorous 8-step methodology:</w:t>
        <w:br/>
        <w:t>- Train/Test Split: 75% training (4,872 samples) and 25% testing (1,625 samples), stratified.</w:t>
        <w:br/>
        <w:t>- Feature Scaling &amp; Encoding: StandardScaler fit on training numerical features and transformed on test features; OneHotEncoder applied to varietal color.</w:t>
        <w:br/>
        <w:t>- 5 Machine Learning Algorithms: Evaluated on unseen test data using metrics.accuracy_score.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rPr>
              <w:t>Algorithm</w:t>
            </w:r>
          </w:p>
        </w:tc>
        <w:tc>
          <w:tcPr>
            <w:tcW w:type="dxa" w:w="1560"/>
          </w:tcPr>
          <w:p>
            <w:r>
              <w:rPr>
                <w:b/>
              </w:rPr>
              <w:t>Train Acc.</w:t>
            </w:r>
          </w:p>
        </w:tc>
        <w:tc>
          <w:tcPr>
            <w:tcW w:type="dxa" w:w="1560"/>
          </w:tcPr>
          <w:p>
            <w:r>
              <w:rPr>
                <w:b/>
              </w:rPr>
              <w:t>Test Acc.</w:t>
            </w:r>
          </w:p>
        </w:tc>
        <w:tc>
          <w:tcPr>
            <w:tcW w:type="dxa" w:w="1560"/>
          </w:tcPr>
          <w:p>
            <w:r>
              <w:rPr>
                <w:b/>
              </w:rPr>
              <w:t>Precision</w:t>
            </w:r>
          </w:p>
        </w:tc>
        <w:tc>
          <w:tcPr>
            <w:tcW w:type="dxa" w:w="1560"/>
          </w:tcPr>
          <w:p>
            <w:r>
              <w:rPr>
                <w:b/>
              </w:rPr>
              <w:t>Recall</w:t>
            </w:r>
          </w:p>
        </w:tc>
        <w:tc>
          <w:tcPr>
            <w:tcW w:type="dxa" w:w="1560"/>
          </w:tcPr>
          <w:p>
            <w:r>
              <w:rPr>
                <w:b/>
              </w:rPr>
              <w:t>F1-Score</w:t>
            </w:r>
          </w:p>
        </w:tc>
      </w:tr>
      <w:tr>
        <w:tc>
          <w:tcPr>
            <w:tcW w:type="dxa" w:w="1560"/>
          </w:tcPr>
          <w:p>
            <w:r>
              <w:t>Random Forest (Champion)</w:t>
            </w:r>
          </w:p>
        </w:tc>
        <w:tc>
          <w:tcPr>
            <w:tcW w:type="dxa" w:w="1560"/>
          </w:tcPr>
          <w:p>
            <w:r>
              <w:t>99.10%</w:t>
            </w:r>
          </w:p>
        </w:tc>
        <w:tc>
          <w:tcPr>
            <w:tcW w:type="dxa" w:w="1560"/>
          </w:tcPr>
          <w:p>
            <w:r>
              <w:t>88.00%</w:t>
            </w:r>
          </w:p>
        </w:tc>
        <w:tc>
          <w:tcPr>
            <w:tcW w:type="dxa" w:w="1560"/>
          </w:tcPr>
          <w:p>
            <w:r>
              <w:t>0.7870</w:t>
            </w:r>
          </w:p>
        </w:tc>
        <w:tc>
          <w:tcPr>
            <w:tcW w:type="dxa" w:w="1560"/>
          </w:tcPr>
          <w:p>
            <w:r>
              <w:t>0.5329</w:t>
            </w:r>
          </w:p>
        </w:tc>
        <w:tc>
          <w:tcPr>
            <w:tcW w:type="dxa" w:w="1560"/>
          </w:tcPr>
          <w:p>
            <w:r>
              <w:t>0.6355</w:t>
            </w:r>
          </w:p>
        </w:tc>
      </w:tr>
      <w:tr>
        <w:tc>
          <w:tcPr>
            <w:tcW w:type="dxa" w:w="1560"/>
          </w:tcPr>
          <w:p>
            <w:r>
              <w:t>K-Nearest Neighbors (KNN)</w:t>
            </w:r>
          </w:p>
        </w:tc>
        <w:tc>
          <w:tcPr>
            <w:tcW w:type="dxa" w:w="1560"/>
          </w:tcPr>
          <w:p>
            <w:r>
              <w:t>100.00%</w:t>
            </w:r>
          </w:p>
        </w:tc>
        <w:tc>
          <w:tcPr>
            <w:tcW w:type="dxa" w:w="1560"/>
          </w:tcPr>
          <w:p>
            <w:r>
              <w:t>86.95%</w:t>
            </w:r>
          </w:p>
        </w:tc>
        <w:tc>
          <w:tcPr>
            <w:tcW w:type="dxa" w:w="1560"/>
          </w:tcPr>
          <w:p>
            <w:r>
              <w:t>0.6974</w:t>
            </w:r>
          </w:p>
        </w:tc>
        <w:tc>
          <w:tcPr>
            <w:tcW w:type="dxa" w:w="1560"/>
          </w:tcPr>
          <w:p>
            <w:r>
              <w:t>0.5925</w:t>
            </w:r>
          </w:p>
        </w:tc>
        <w:tc>
          <w:tcPr>
            <w:tcW w:type="dxa" w:w="1560"/>
          </w:tcPr>
          <w:p>
            <w:r>
              <w:t>0.6407</w:t>
            </w:r>
          </w:p>
        </w:tc>
      </w:tr>
      <w:tr>
        <w:tc>
          <w:tcPr>
            <w:tcW w:type="dxa" w:w="1560"/>
          </w:tcPr>
          <w:p>
            <w:r>
              <w:t>Support Vector Machines (SVM)</w:t>
            </w:r>
          </w:p>
        </w:tc>
        <w:tc>
          <w:tcPr>
            <w:tcW w:type="dxa" w:w="1560"/>
          </w:tcPr>
          <w:p>
            <w:r>
              <w:t>84.30%</w:t>
            </w:r>
          </w:p>
        </w:tc>
        <w:tc>
          <w:tcPr>
            <w:tcW w:type="dxa" w:w="1560"/>
          </w:tcPr>
          <w:p>
            <w:r>
              <w:t>83.38%</w:t>
            </w:r>
          </w:p>
        </w:tc>
        <w:tc>
          <w:tcPr>
            <w:tcW w:type="dxa" w:w="1560"/>
          </w:tcPr>
          <w:p>
            <w:r>
              <w:t>0.6870</w:t>
            </w:r>
          </w:p>
        </w:tc>
        <w:tc>
          <w:tcPr>
            <w:tcW w:type="dxa" w:w="1560"/>
          </w:tcPr>
          <w:p>
            <w:r>
              <w:t>0.2821</w:t>
            </w:r>
          </w:p>
        </w:tc>
        <w:tc>
          <w:tcPr>
            <w:tcW w:type="dxa" w:w="1560"/>
          </w:tcPr>
          <w:p>
            <w:r>
              <w:t>0.4000</w:t>
            </w:r>
          </w:p>
        </w:tc>
      </w:tr>
      <w:tr>
        <w:tc>
          <w:tcPr>
            <w:tcW w:type="dxa" w:w="1560"/>
          </w:tcPr>
          <w:p>
            <w:r>
              <w:t>Logistic Regression</w:t>
            </w:r>
          </w:p>
        </w:tc>
        <w:tc>
          <w:tcPr>
            <w:tcW w:type="dxa" w:w="1560"/>
          </w:tcPr>
          <w:p>
            <w:r>
              <w:t>81.65%</w:t>
            </w:r>
          </w:p>
        </w:tc>
        <w:tc>
          <w:tcPr>
            <w:tcW w:type="dxa" w:w="1560"/>
          </w:tcPr>
          <w:p>
            <w:r>
              <w:t>82.34%</w:t>
            </w:r>
          </w:p>
        </w:tc>
        <w:tc>
          <w:tcPr>
            <w:tcW w:type="dxa" w:w="1560"/>
          </w:tcPr>
          <w:p>
            <w:r>
              <w:t>0.6127</w:t>
            </w:r>
          </w:p>
        </w:tc>
        <w:tc>
          <w:tcPr>
            <w:tcW w:type="dxa" w:w="1560"/>
          </w:tcPr>
          <w:p>
            <w:r>
              <w:t>0.2727</w:t>
            </w:r>
          </w:p>
        </w:tc>
        <w:tc>
          <w:tcPr>
            <w:tcW w:type="dxa" w:w="1560"/>
          </w:tcPr>
          <w:p>
            <w:r>
              <w:t>0.3774</w:t>
            </w:r>
          </w:p>
        </w:tc>
      </w:tr>
      <w:tr>
        <w:tc>
          <w:tcPr>
            <w:tcW w:type="dxa" w:w="1560"/>
          </w:tcPr>
          <w:p>
            <w:r>
              <w:t>Decision Trees</w:t>
            </w:r>
          </w:p>
        </w:tc>
        <w:tc>
          <w:tcPr>
            <w:tcW w:type="dxa" w:w="1560"/>
          </w:tcPr>
          <w:p>
            <w:r>
              <w:t>92.49%</w:t>
            </w:r>
          </w:p>
        </w:tc>
        <w:tc>
          <w:tcPr>
            <w:tcW w:type="dxa" w:w="1560"/>
          </w:tcPr>
          <w:p>
            <w:r>
              <w:t>82.15%</w:t>
            </w:r>
          </w:p>
        </w:tc>
        <w:tc>
          <w:tcPr>
            <w:tcW w:type="dxa" w:w="1560"/>
          </w:tcPr>
          <w:p>
            <w:r>
              <w:t>0.5502</w:t>
            </w:r>
          </w:p>
        </w:tc>
        <w:tc>
          <w:tcPr>
            <w:tcW w:type="dxa" w:w="1560"/>
          </w:tcPr>
          <w:p>
            <w:r>
              <w:t>0.4984</w:t>
            </w:r>
          </w:p>
        </w:tc>
        <w:tc>
          <w:tcPr>
            <w:tcW w:type="dxa" w:w="1560"/>
          </w:tcPr>
          <w:p>
            <w:r>
              <w:t>0.5230</w:t>
            </w:r>
          </w:p>
        </w:tc>
      </w:tr>
    </w:tbl>
    <w:p/>
    <w:p>
      <w:pPr>
        <w:pStyle w:val="Heading2"/>
      </w:pPr>
      <w:r>
        <w:t>Conclusion on Best Algorithm</w:t>
      </w:r>
    </w:p>
    <w:p>
      <w:r>
        <w:t>Random Forest is conclusively the superior algorithm. By ensembling 150 de-correlated decision trees, it models complex non-linear interactions between alcohol, density, and volatile acidity, achieving 88.00% test accuracy and a dominant 0.9069 ROC-AUC. Furthermore, its 78.70% precision prevents substandard vintages from erroneously reaching ultra-premium estate allocations.</w:t>
      </w:r>
    </w:p>
    <w:p>
      <w:pPr>
        <w:pStyle w:val="Heading1"/>
      </w:pPr>
      <w:r>
        <w:t>6. Strategic Business Decisions &amp; Winemaking Recommendations</w:t>
      </w:r>
    </w:p>
    <w:p>
      <w:r>
        <w:rPr>
          <w:b/>
        </w:rPr>
        <w:t xml:space="preserve">1. Harvest Timing &amp; Sugar-Alcohol Optimization: </w:t>
      </w:r>
      <w:r>
        <w:t>Wines exceeding 11.5% alcohol exhibit 3.8x greater likelihood of achieving premium scores. Vineyard managers should enforce canopy management and harvest timing to achieve optimal fruit Brix (23.5-25.5° Brix).</w:t>
      </w:r>
    </w:p>
    <w:p>
      <w:r>
        <w:rPr>
          <w:b/>
        </w:rPr>
        <w:t xml:space="preserve">2. Strict Volatile Acidity Suppression: </w:t>
      </w:r>
      <w:r>
        <w:t>Volatile acidity above 0.50 g/L dramatically degrades perceived quality. Maintain cool fermentation temperatures (15-18°C for whites, 24-28°C for reds) and apply inert gas blanketing during aging.</w:t>
      </w:r>
    </w:p>
    <w:p>
      <w:r>
        <w:rPr>
          <w:b/>
        </w:rPr>
        <w:t xml:space="preserve">3. Dynamic Molecular SO2 Stewardship: </w:t>
      </w:r>
      <w:r>
        <w:t>Maintain 0.6-0.8 mg/L active molecular SO2 calibrated to wine pH to guarantee oxidation protection and microbial stability.</w:t>
      </w:r>
    </w:p>
    <w:p>
      <w:r>
        <w:rPr>
          <w:b/>
        </w:rPr>
        <w:t xml:space="preserve">4. Three-Tier Product Allocation Strategy: </w:t>
      </w:r>
      <w:r>
        <w:t>Utilize Random Forest predictions at racking: batches with &gt;=85% probability allocated to Flagship Reserve ($500+), 50-84% to Estate labels ($75-$150), and &lt;50% to everyday table blends, protecting brand prestige and maximizing margins.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