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Loan Performance &amp; Risk Analysis</w:t>
      </w:r>
    </w:p>
    <w:p>
      <w:pPr>
        <w:pStyle w:val="Heading1"/>
      </w:pPr>
      <w:r>
        <w:t>1. Executive Summary</w:t>
      </w:r>
    </w:p>
    <w:p>
      <w:r>
        <w:t>The Bank Loan Performance &amp; Risk Analysis evaluates loan portfolio health using key financial and</w:t>
        <w:br/>
        <w:t xml:space="preserve"> operational metrics. The portfolio demonstrates strong performance, with a high proportion of</w:t>
        <w:br/>
        <w:t xml:space="preserve"> performing loans and controlled credit risk. Borrower behavior, loan purpose, and regional patterns</w:t>
        <w:br/>
        <w:t xml:space="preserve"> highlight opportunities for targeted growth and risk mitigation.</w:t>
      </w:r>
    </w:p>
    <w:p>
      <w:pPr>
        <w:pStyle w:val="Heading1"/>
      </w:pPr>
      <w:r>
        <w:t>2. Business Objectives</w:t>
      </w:r>
    </w:p>
    <w:p>
      <w:r>
        <w:t>• Assess overall loan portfolio performance</w:t>
        <w:br/>
        <w:t xml:space="preserve"> • Identify trends in loan applications over time</w:t>
        <w:br/>
        <w:t xml:space="preserve"> • Analyze borrower segments and risk profiles</w:t>
        <w:br/>
        <w:t xml:space="preserve"> • Support data-driven credit policy decisions</w:t>
      </w:r>
    </w:p>
    <w:p>
      <w:pPr>
        <w:pStyle w:val="Heading1"/>
      </w:pPr>
      <w:r>
        <w:t>3. Key Performance Indicators (KPIs)</w:t>
      </w:r>
    </w:p>
    <w:p>
      <w:r>
        <w:t>• Total Loan Applications: 38,576</w:t>
        <w:br/>
        <w:t xml:space="preserve"> • Total Funded Amount: 436 Million</w:t>
        <w:br/>
        <w:t xml:space="preserve"> • Total Amount Received: 473 Million</w:t>
        <w:br/>
        <w:t xml:space="preserve"> • Average Interest Rate: 12.05%</w:t>
        <w:br/>
        <w:t xml:space="preserve"> • Average Debt-to-Income Ratio (DTI): 0.13</w:t>
        <w:br/>
        <w:t xml:space="preserve"> • Good Loan Applications: 33,243</w:t>
        <w:br/>
        <w:t xml:space="preserve"> • Bad Loan Applications: 5,333</w:t>
      </w:r>
    </w:p>
    <w:p>
      <w:pPr>
        <w:pStyle w:val="Heading1"/>
      </w:pPr>
      <w:r>
        <w:t>4. Monthly Trend Analysis (Issue Date)</w:t>
      </w:r>
    </w:p>
    <w:p>
      <w:r>
        <w:t>Monthly application trends reveal seasonal variation. Application volumes peak during December,</w:t>
        <w:br/>
        <w:t xml:space="preserve"> suggesting increased borrowing activity toward year-end. Lower volumes during early months indicate</w:t>
        <w:br/>
        <w:t xml:space="preserve"> cyclical borrower demand. Understanding these trends helps optimize resource allocation and campaign timing.</w:t>
      </w:r>
    </w:p>
    <w:p>
      <w:pPr>
        <w:pStyle w:val="Heading1"/>
      </w:pPr>
      <w:r>
        <w:t>5. Loan Performance &amp; Risk Classification</w:t>
      </w:r>
    </w:p>
    <w:p>
      <w:r>
        <w:t>Loans are classified into Good Loans (Fully Paid and Current) and Bad Loans (Charged Off).</w:t>
        <w:br/>
        <w:t xml:space="preserve"> Over 86% of applications fall into the Good Loan category, reflecting effective credit assessment</w:t>
        <w:br/>
        <w:t xml:space="preserve"> practices. However, continued monitoring of Charged-Off loans is necessary to control portfolio risk.</w:t>
      </w:r>
    </w:p>
    <w:p>
      <w:pPr>
        <w:pStyle w:val="Heading1"/>
      </w:pPr>
      <w:r>
        <w:t>6. Home Ownership Analysis</w:t>
      </w:r>
    </w:p>
    <w:p>
      <w:r>
        <w:t>Applications are primarily concentrated among borrowers with RENT and MORTGAGE home ownership</w:t>
        <w:br/>
        <w:t xml:space="preserve"> statuses. These segments represent the most active credit-seeking population. Borrowers who OWN</w:t>
        <w:br/>
        <w:t xml:space="preserve"> properties show lower loan demand, potentially due to higher financial stability.</w:t>
      </w:r>
    </w:p>
    <w:p>
      <w:pPr>
        <w:pStyle w:val="Heading1"/>
      </w:pPr>
      <w:r>
        <w:t>7. Loan Purpose Analysis</w:t>
      </w:r>
    </w:p>
    <w:p>
      <w:r>
        <w:t>Debt consolidation dominates loan purposes, accounting for the largest share of applications.</w:t>
        <w:br/>
        <w:t xml:space="preserve"> This indicates reliance on loans for liability management. Credit card refinancing and home</w:t>
        <w:br/>
        <w:t xml:space="preserve"> improvement follow, each presenting different risk characteristics.</w:t>
      </w:r>
    </w:p>
    <w:p>
      <w:pPr>
        <w:pStyle w:val="Heading1"/>
      </w:pPr>
      <w:r>
        <w:t>8. Employment Length Analysis</w:t>
      </w:r>
    </w:p>
    <w:p>
      <w:r>
        <w:t>Borrowers with longer employment tenure, particularly 10+ years, show the highest loan participation.</w:t>
        <w:br/>
        <w:t xml:space="preserve"> Employment stability is positively correlated with repayment capacity, making this group relatively</w:t>
        <w:br/>
        <w:t xml:space="preserve"> lower risk compared to shorter-tenure borrowers.</w:t>
      </w:r>
    </w:p>
    <w:p>
      <w:pPr>
        <w:pStyle w:val="Heading1"/>
      </w:pPr>
      <w:r>
        <w:t>9. Regional Analysis by State</w:t>
      </w:r>
    </w:p>
    <w:p>
      <w:r>
        <w:t>California, New York, Florida, Texas, and New Jersey lead in loan application volumes. High population</w:t>
        <w:br/>
        <w:t xml:space="preserve"> density and economic activity drive demand in these regions. Regional insights help tailor localized</w:t>
        <w:br/>
        <w:t xml:space="preserve"> lending strategies.</w:t>
      </w:r>
    </w:p>
    <w:p>
      <w:pPr>
        <w:pStyle w:val="Heading1"/>
      </w:pPr>
      <w:r>
        <w:t>10. Loan Term Analysis</w:t>
      </w:r>
    </w:p>
    <w:p>
      <w:r>
        <w:t>Short-term loans (36 months) account for 73.2% of total applications, indicating borrower preference</w:t>
        <w:br/>
        <w:t xml:space="preserve"> for quicker repayment cycles. Shorter terms reduce long-term credit exposure and improve cash flow</w:t>
        <w:br/>
        <w:t xml:space="preserve"> predictability.</w:t>
      </w:r>
    </w:p>
    <w:p>
      <w:pPr>
        <w:pStyle w:val="Heading1"/>
      </w:pPr>
      <w:r>
        <w:t>11. Risk Insights &amp; Recommendations</w:t>
      </w:r>
    </w:p>
    <w:p>
      <w:r>
        <w:t>• Enhance monitoring of debt consolidation loans</w:t>
        <w:br/>
        <w:t xml:space="preserve"> • Apply targeted risk controls for RENT borrowers</w:t>
        <w:br/>
        <w:t xml:space="preserve"> • Promote short-term loan products</w:t>
        <w:br/>
        <w:t xml:space="preserve"> • Strengthen regional credit strategies in high-volume states</w:t>
      </w:r>
    </w:p>
    <w:p>
      <w:pPr>
        <w:pStyle w:val="Heading1"/>
      </w:pPr>
      <w:r>
        <w:t>12. Conclusion</w:t>
      </w:r>
    </w:p>
    <w:p>
      <w:r>
        <w:t>The loan portfolio demonstrates strong performance with manageable credit risk. By leveraging</w:t>
        <w:br/>
        <w:t xml:space="preserve"> borrower insights, trend analysis, and risk segmentation, financial institutions can further</w:t>
        <w:br/>
        <w:t xml:space="preserve"> strengthen lending efficiency, portfolio quality, and long-term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