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FINAL YEAR PROJECT</w:t>
      </w:r>
    </w:p>
    <w:p>
      <w:pPr>
        <w:pStyle w:val="Title"/>
        <w:jc w:val="center"/>
      </w:pPr>
      <w:r>
        <w:t>WebShield AI User Manual</w:t>
      </w:r>
    </w:p>
    <w:p>
      <w:pPr>
        <w:jc w:val="center"/>
      </w:pPr>
      <w:r>
        <w:rPr>
          <w:b/>
          <w:color w:val="AA3829"/>
        </w:rPr>
        <w:t>SAMPLE / DEMONSTRATION COVER DETAILS</w:t>
      </w:r>
    </w:p>
    <w:p>
      <w:r>
        <w:t>Dummy identities requested for presentation. These names do not identify an actual student, supervisor or institution.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t>Submitted by</w:t>
            </w:r>
          </w:p>
        </w:tc>
        <w:tc>
          <w:tcPr>
            <w:tcW w:type="dxa" w:w="4802"/>
          </w:tcPr>
          <w:p>
            <w:r>
              <w:t>Sample Student</w:t>
            </w:r>
          </w:p>
        </w:tc>
      </w:tr>
      <w:tr>
        <w:tc>
          <w:tcPr>
            <w:tcW w:type="dxa" w:w="4802"/>
          </w:tcPr>
          <w:p>
            <w:r>
              <w:t>Registration number</w:t>
            </w:r>
          </w:p>
        </w:tc>
        <w:tc>
          <w:tcPr>
            <w:tcW w:type="dxa" w:w="4802"/>
          </w:tcPr>
          <w:p>
            <w:r>
              <w:t>FYP-0000</w:t>
            </w:r>
          </w:p>
        </w:tc>
      </w:tr>
      <w:tr>
        <w:tc>
          <w:tcPr>
            <w:tcW w:type="dxa" w:w="4802"/>
          </w:tcPr>
          <w:p>
            <w:r>
              <w:t>Programme</w:t>
            </w:r>
          </w:p>
        </w:tc>
        <w:tc>
          <w:tcPr>
            <w:tcW w:type="dxa" w:w="4802"/>
          </w:tcPr>
          <w:p>
            <w:r>
              <w:t>Sample BS Computer Science</w:t>
            </w:r>
          </w:p>
        </w:tc>
      </w:tr>
      <w:tr>
        <w:tc>
          <w:tcPr>
            <w:tcW w:type="dxa" w:w="4802"/>
          </w:tcPr>
          <w:p>
            <w:r>
              <w:t>Department</w:t>
            </w:r>
          </w:p>
        </w:tc>
        <w:tc>
          <w:tcPr>
            <w:tcW w:type="dxa" w:w="4802"/>
          </w:tcPr>
          <w:p>
            <w:r>
              <w:t>Sample Department of Computer Science</w:t>
            </w:r>
          </w:p>
        </w:tc>
      </w:tr>
      <w:tr>
        <w:tc>
          <w:tcPr>
            <w:tcW w:type="dxa" w:w="4802"/>
          </w:tcPr>
          <w:p>
            <w:r>
              <w:t>Institution</w:t>
            </w:r>
          </w:p>
        </w:tc>
        <w:tc>
          <w:tcPr>
            <w:tcW w:type="dxa" w:w="4802"/>
          </w:tcPr>
          <w:p>
            <w:r>
              <w:t>Sample University</w:t>
            </w:r>
          </w:p>
        </w:tc>
      </w:tr>
      <w:tr>
        <w:tc>
          <w:tcPr>
            <w:tcW w:type="dxa" w:w="4802"/>
          </w:tcPr>
          <w:p>
            <w:r>
              <w:t>Supervisor</w:t>
            </w:r>
          </w:p>
        </w:tc>
        <w:tc>
          <w:tcPr>
            <w:tcW w:type="dxa" w:w="4802"/>
          </w:tcPr>
          <w:p>
            <w:r>
              <w:t>Sample Supervisor</w:t>
            </w:r>
          </w:p>
        </w:tc>
      </w:tr>
      <w:tr>
        <w:tc>
          <w:tcPr>
            <w:tcW w:type="dxa" w:w="4802"/>
          </w:tcPr>
          <w:p>
            <w:r>
              <w:t>Academic session</w:t>
            </w:r>
          </w:p>
        </w:tc>
        <w:tc>
          <w:tcPr>
            <w:tcW w:type="dxa" w:w="4802"/>
          </w:tcPr>
          <w:p>
            <w:r>
              <w:t>Sample Session 2025–2026</w:t>
            </w:r>
          </w:p>
        </w:tc>
      </w:tr>
      <w:tr>
        <w:tc>
          <w:tcPr>
            <w:tcW w:type="dxa" w:w="4802"/>
          </w:tcPr>
          <w:p>
            <w:r>
              <w:t>Prepared</w:t>
            </w:r>
          </w:p>
        </w:tc>
        <w:tc>
          <w:tcPr>
            <w:tcW w:type="dxa" w:w="4802"/>
          </w:tcPr>
          <w:p>
            <w:r>
              <w:t>12 October 2026</w:t>
            </w:r>
          </w:p>
        </w:tc>
      </w:tr>
    </w:tbl>
    <w:p>
      <w:r>
        <w:t>No student declaration, supervisor approval or academic acceptance has been signed.</w:t>
      </w:r>
    </w:p>
    <w:p>
      <w:r>
        <w:br w:type="page"/>
      </w:r>
    </w:p>
    <w:p>
      <w:r>
        <w:t xml:space="preserve">WebShield AI helps you review a public website URL using available evidence. Reports can include URL indicators, a phishing model estimate, current threat-provider observations and isolated static page/domain checks. A low estimate or missing provider match does not establish business legitimacy. This manual describes the controlled local application at </w:t>
      </w:r>
      <w:r>
        <w:rPr>
          <w:rFonts w:ascii="Courier New" w:hAnsi="Courier New"/>
          <w:b w:val="0"/>
          <w:i w:val="0"/>
          <w:sz w:val="18"/>
        </w:rPr>
        <w:t>http://127.0.0.1:3000</w:t>
      </w:r>
      <w:r>
        <w:t>.</w:t>
      </w:r>
    </w:p>
    <w:p>
      <w:pPr>
        <w:pStyle w:val="Heading1"/>
      </w:pPr>
      <w:r>
        <w:t>1 Start and navigate</w:t>
      </w:r>
    </w:p>
    <w:p>
      <w:r>
        <w:t>Ask the local operator to start the verified services using the deployment checklist. Open the frontend address in a browser. The sidebar provides Overview, Scan history, Research and Configuration. On a small screen the layout adapts; tables have their own horizontal scrolling. Tab moves between controls, Enter activates links/submits the URL form, and Space activates the theme button.</w:t>
      </w:r>
    </w:p>
    <w:p>
      <w:r>
        <w:t>Use the header sun/moon button to switch between light and dark mode. The first visit follows your device preference. A manual choice is remembered in this browser when storage is available; otherwise it works for the current session. Standard browser zoom and text-size preferences remain available.</w:t>
      </w:r>
    </w:p>
    <w:p>
      <w:r>
        <w:drawing>
          <wp:inline xmlns:a="http://schemas.openxmlformats.org/drawingml/2006/main" xmlns:pic="http://schemas.openxmlformats.org/drawingml/2006/picture">
            <wp:extent cx="4797153" cy="5303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desktop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7153" cy="530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Light dashboard with URL form and synthetic demonstration controls</w:t>
      </w:r>
    </w:p>
    <w:p>
      <w:r>
        <w:drawing>
          <wp:inline xmlns:a="http://schemas.openxmlformats.org/drawingml/2006/main" xmlns:pic="http://schemas.openxmlformats.org/drawingml/2006/picture">
            <wp:extent cx="4797153" cy="5303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desktop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7153" cy="530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Dark dashboard with the same controls</w:t>
      </w:r>
    </w:p>
    <w:p>
      <w:pPr>
        <w:pStyle w:val="Heading1"/>
      </w:pPr>
      <w:r>
        <w:t>2 Submit a website</w:t>
      </w:r>
    </w:p>
    <w:p>
      <w:pPr>
        <w:pStyle w:val="ListNumber"/>
      </w:pPr>
      <w:r>
        <w:t xml:space="preserve">On Overview, enter a complete public URL beginning with </w:t>
      </w:r>
      <w:r>
        <w:rPr>
          <w:rFonts w:ascii="Courier New" w:hAnsi="Courier New"/>
          <w:b w:val="0"/>
          <w:i w:val="0"/>
          <w:sz w:val="18"/>
        </w:rPr>
        <w:t>https://</w:t>
      </w:r>
      <w:r>
        <w:t xml:space="preserve"> or </w:t>
      </w:r>
      <w:r>
        <w:rPr>
          <w:rFonts w:ascii="Courier New" w:hAnsi="Courier New"/>
          <w:b w:val="0"/>
          <w:i w:val="0"/>
          <w:sz w:val="18"/>
        </w:rPr>
        <w:t>http://</w:t>
      </w:r>
      <w:r>
        <w:t xml:space="preserve"> in the Website URL field.</w:t>
      </w:r>
    </w:p>
    <w:p>
      <w:pPr>
        <w:pStyle w:val="ListNumber"/>
      </w:pPr>
      <w:r>
        <w:t>Remove private password-reset tokens, session keys or other secrets from query strings before submission. The full URL is saved and may be sent to enabled providers.</w:t>
      </w:r>
    </w:p>
    <w:p>
      <w:pPr>
        <w:pStyle w:val="ListNumber"/>
      </w:pPr>
      <w:r>
        <w:t xml:space="preserve">Select </w:t>
      </w:r>
      <w:r>
        <w:rPr>
          <w:b/>
          <w:i w:val="0"/>
        </w:rPr>
        <w:t>Analyze website</w:t>
      </w:r>
      <w:r>
        <w:t>. A saved report opens while the scan is queued or running.</w:t>
      </w:r>
    </w:p>
    <w:p>
      <w:pPr>
        <w:pStyle w:val="ListNumber"/>
      </w:pPr>
      <w:r>
        <w:t>Wait for a completed, partial or failed result. You can leave the page; accepted scans remain in history.</w:t>
      </w:r>
    </w:p>
    <w:p>
      <w:r>
        <w:t xml:space="preserve">For a harmless live demonstration, use </w:t>
      </w:r>
      <w:r>
        <w:rPr>
          <w:rFonts w:ascii="Courier New" w:hAnsi="Courier New"/>
          <w:b w:val="0"/>
          <w:i w:val="0"/>
          <w:sz w:val="18"/>
        </w:rPr>
        <w:t>https://example.com/</w:t>
      </w:r>
      <w:r>
        <w:t>. Ordinary input validation rejects unsupported schemes, credentials in URLs, private/internal targets, disallowed ports and unsafe or ambiguous syntax. A readable rejection means no valid scan has been accepted. Public-looking hostnames that resolve to restricted addresses are blocked by the collector.</w:t>
      </w:r>
    </w:p>
    <w:p>
      <w:r>
        <w:t>Avoid assuming the check is instant. Model startup and external observations take time. If the API reports queue submission failure with a saved scan ID, that failed record remains available for diagnosis.</w:t>
      </w:r>
    </w:p>
    <w:p>
      <w:pPr>
        <w:pStyle w:val="Heading1"/>
      </w:pPr>
      <w:r>
        <w:t>3 Try synthetic scenarios</w:t>
      </w:r>
    </w:p>
    <w:p>
      <w:r>
        <w:t xml:space="preserve">Overview's </w:t>
      </w:r>
      <w:r>
        <w:rPr>
          <w:b/>
          <w:i w:val="0"/>
        </w:rPr>
        <w:t>Take a test drive</w:t>
      </w:r>
      <w:r>
        <w:t xml:space="preserve"> row offers Storefront, Phishing pattern and Crypto investment. Each uses repository-owned </w:t>
      </w:r>
      <w:r>
        <w:rPr>
          <w:rFonts w:ascii="Courier New" w:hAnsi="Courier New"/>
          <w:b w:val="0"/>
          <w:i w:val="0"/>
          <w:sz w:val="18"/>
        </w:rPr>
        <w:t>.example</w:t>
      </w:r>
      <w:r>
        <w:t xml:space="preserve"> content and displays </w:t>
      </w:r>
      <w:r>
        <w:rPr>
          <w:b/>
          <w:i w:val="0"/>
        </w:rPr>
        <w:t>Synthetic demo</w:t>
      </w:r>
      <w:r>
        <w:t>. No real target site is assessed. Demonstrations exercise explanations and warning states; they are not research accuracy measurements.</w:t>
      </w:r>
    </w:p>
    <w:p>
      <w:r>
        <w:t>The crypto scenario includes unrealistic return claims and candidate addresses. Address presence is not evidence of abuse, and WebShield never connects a wallet or performs transactions. A synthetic report may show unavailable ML rather than a numeric estimate; this is expected and must not be read as a real prediction.</w:t>
      </w:r>
    </w:p>
    <w:p>
      <w:r>
        <w:drawing>
          <wp:inline xmlns:a="http://schemas.openxmlformats.org/drawingml/2006/main" xmlns:pic="http://schemas.openxmlformats.org/drawingml/2006/picture">
            <wp:extent cx="6035040" cy="419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synthetic-overview-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Synthetic investment report with an explicit demo notice</w:t>
      </w:r>
    </w:p>
    <w:p>
      <w:pPr>
        <w:pStyle w:val="Heading1"/>
      </w:pPr>
      <w:r>
        <w:t>4 Read the assessment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  <w:sz w:val="18"/>
              </w:rPr>
              <w:t>Display</w:t>
            </w:r>
          </w:p>
        </w:tc>
        <w:tc>
          <w:tcPr>
            <w:tcW w:type="dxa" w:w="4802"/>
          </w:tcPr>
          <w:p>
            <w:r>
              <w:rPr>
                <w:b/>
                <w:sz w:val="18"/>
              </w:rPr>
              <w:t>How to interpret it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Queued or running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Processing has not finished; this is not an assessment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The configured workflow finished; coverage is still limited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Partial coverage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Useful evidence exists but one or more checks were unavailable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Failed or assessment unavailable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Processing failed; no legitimacy conclusion follows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Low observed risk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Available evidence did not cross the relevant warning conditions; uncertainty remains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Suspicious or high risk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Model/rules warrant review; this does not independently prove fraud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Reported potential threat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A current configured provider reported the exact URL; review source/freshness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Inconclusive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Available evidence is insufficient for a stronger assessment</w:t>
            </w:r>
          </w:p>
        </w:tc>
      </w:tr>
    </w:tbl>
    <w:p/>
    <w:p>
      <w:r>
        <w:t xml:space="preserve">When present, the percentage is a </w:t>
      </w:r>
      <w:r>
        <w:rPr>
          <w:b/>
          <w:i w:val="0"/>
        </w:rPr>
        <w:t>phishing model estimate</w:t>
      </w:r>
      <w:r>
        <w:t>, not a trust score or chance of investment loss. Model context identifies scope, version and selected warning threshold. The current model threshold is about 76.86%. Its held-out phishing recall is 58.41%, so many phishing examples were missed at that operating point. Do not ignore independent warnings because an estimate is below threshold.</w:t>
      </w:r>
    </w:p>
    <w:p>
      <w:r>
        <w:drawing>
          <wp:inline xmlns:a="http://schemas.openxmlformats.org/drawingml/2006/main" xmlns:pic="http://schemas.openxmlformats.org/drawingml/2006/picture">
            <wp:extent cx="6035040" cy="419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benign-overview-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Saved example.com report with model context and evidence</w:t>
      </w:r>
    </w:p>
    <w:p>
      <w:r>
        <w:t xml:space="preserve">Review </w:t>
      </w:r>
      <w:r>
        <w:rPr>
          <w:b/>
          <w:i w:val="0"/>
        </w:rPr>
        <w:t>Threat provider freshness</w:t>
      </w:r>
      <w:r>
        <w:t xml:space="preserve"> for source, status, observation time and expiry. An expired historical positive loses current authority; select Scan again for a new check. Provider no-match, disabled, unavailable and expired states have different meanings. Configuration reports enablement, not guaranteed provider health.</w:t>
      </w:r>
    </w:p>
    <w:p>
      <w:r>
        <w:t xml:space="preserve">Read </w:t>
      </w:r>
      <w:r>
        <w:rPr>
          <w:b/>
          <w:i w:val="0"/>
        </w:rPr>
        <w:t>The evidence, in plain sight</w:t>
      </w:r>
      <w:r>
        <w:t>, warning cards and the limitations panel together. Static HTML does not include all JavaScript behavior, hidden pages or authenticated content. DNS/RDAP and domain age do not identify a trustworthy operator. EVM address syntax does not identify the actual chain, ownership or transaction history.</w:t>
      </w:r>
    </w:p>
    <w:p>
      <w:pPr>
        <w:pStyle w:val="Heading1"/>
      </w:pPr>
      <w:r>
        <w:t>5 History and resubmission</w:t>
      </w:r>
    </w:p>
    <w:p>
      <w:r>
        <w:t xml:space="preserve">Select </w:t>
      </w:r>
      <w:r>
        <w:rPr>
          <w:b/>
          <w:i w:val="0"/>
        </w:rPr>
        <w:t>Scan history</w:t>
      </w:r>
      <w:r>
        <w:t xml:space="preserve"> to open saved investigations. Open a row to return to its report. History is shared across this local deployment and uses paginated retrieval. The total is deployment-wide rather than a private personal count. UI times are shown in Pakistan time (PKT).</w:t>
      </w:r>
    </w:p>
    <w:p>
      <w:r>
        <w:t xml:space="preserve">Select </w:t>
      </w:r>
      <w:r>
        <w:rPr>
          <w:b/>
          <w:i w:val="0"/>
        </w:rPr>
        <w:t>Scan again</w:t>
      </w:r>
      <w:r>
        <w:t xml:space="preserve"> on a report to create a new saved submission with a new identifier. Previous observations remain historical evidence. Rechecking is useful when sources expired or evidence was temporarily unavailable. Repeating a scan does not make a warning or a low estimate more authoritative by itself.</w:t>
      </w:r>
    </w:p>
    <w:p>
      <w:pPr>
        <w:pStyle w:val="Heading1"/>
      </w:pPr>
      <w:r>
        <w:t>6 Export evidence</w:t>
      </w:r>
    </w:p>
    <w:p>
      <w:r>
        <w:t xml:space="preserve">Select </w:t>
      </w:r>
      <w:r>
        <w:rPr>
          <w:b/>
          <w:i w:val="0"/>
        </w:rPr>
        <w:t>Export JSON</w:t>
      </w:r>
      <w:r>
        <w:t xml:space="preserve"> on a report. Save the downloaded attachment. It contains the scan ID, normalized URL, lifecycle, assessment, model context, evidence, per-provider timestamps/expiry, signals, features, crypto candidates and limitations.</w:t>
      </w:r>
    </w:p>
    <w:p>
      <w:r>
        <w:t xml:space="preserve">The application export is JSON. The project report and this manual are also packaged as separate PDF/DOCX/HTML documents in </w:t>
      </w:r>
      <w:r>
        <w:rPr>
          <w:rFonts w:ascii="Courier New" w:hAnsi="Courier New"/>
          <w:b w:val="0"/>
          <w:i w:val="0"/>
          <w:sz w:val="18"/>
        </w:rPr>
        <w:t>docs/submission/</w:t>
      </w:r>
      <w:r>
        <w:t>. Saved JSON can contain sensitive URL parameters; review it before sharing. Export uses the same current freshness serialization as report retrieval, so expired provider authority can differ from its original observation while the stored observation remains intact.</w:t>
      </w:r>
    </w:p>
    <w:p>
      <w:pPr>
        <w:pStyle w:val="Heading1"/>
      </w:pPr>
      <w:r>
        <w:t>7 Configuration and research</w:t>
      </w:r>
    </w:p>
    <w:p>
      <w:r>
        <w:t xml:space="preserve">Configuration displays configured/enabled integrations and their privacy implications without exposing backend credentials. Users cannot enter API keys through this page. Only the operator changes root </w:t>
      </w:r>
      <w:r>
        <w:rPr>
          <w:rFonts w:ascii="Courier New" w:hAnsi="Courier New"/>
          <w:b w:val="0"/>
          <w:i w:val="0"/>
          <w:sz w:val="18"/>
        </w:rPr>
        <w:t>.env</w:t>
      </w:r>
      <w:r>
        <w:t xml:space="preserve"> settings and restarts services.</w:t>
      </w:r>
    </w:p>
    <w:p>
      <w:r>
        <w:t>Research describes model scope, feature groups and measured evaluations. The current runtime model is lexical phishing-only. Archived store/investment/crypto models are research-only; their content model had an 8.47% holdout FPR and is not installed as the phishing runtime. A new 200-URL prospective pilot shows no incremental group-holdout hybrid gain. A richer research URL candidate produces 12% false positives on its official reference cohort and remains unpromoted. These small source-confounded studies do not certify arbitrary sites. Synthetic scenarios and developer regression cases are kept separate from held-out accuracy.</w:t>
      </w:r>
    </w:p>
    <w:p>
      <w:pPr>
        <w:pStyle w:val="Heading1"/>
      </w:pPr>
      <w:r>
        <w:t>8 Troubleshooting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802"/>
          </w:tcPr>
          <w:p>
            <w:r>
              <w:rPr>
                <w:b/>
                <w:sz w:val="18"/>
              </w:rPr>
              <w:t>Action and meaning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Frontend cannot open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Operator should check frontend port 3000 and service status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History or report unavailable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Check API/health and database/queue connectivity; retry opening after recovery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URL validation error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Use a complete public HTTP(S) URL; remove embedded credentials and unsupported syntax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Scan remains queued/running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Operator checks queue connectivity and persisted state; startup reconciliation recovers eligible records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Static content or domain unavailable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Check isolated worker, token, flags and policy; an unavailable page is not a clean result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ML unavailable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Check trusted installed bundle, runtime and model flag; a cold inference timeout can be resubmitted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Provider unavailable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Operator checks enablement/key/network; no clean conclusion follows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Provider expired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Select Scan again to obtain fresh evidence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Synthetic report has no numeric score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Expected: demo evidence is not a validated prediction of a real website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Table extends beyond its card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Scroll that table horizontally; the page itself should fit the viewport</w:t>
            </w:r>
          </w:p>
        </w:tc>
      </w:tr>
    </w:tbl>
    <w:p/>
    <w:p>
      <w:r>
        <w:t xml:space="preserve">Do not expose credentials when reporting a problem. Provide scan ID, approximate time, status and a redacted error description. The operator can use </w:t>
      </w:r>
      <w:r>
        <w:rPr>
          <w:rFonts w:ascii="Courier New" w:hAnsi="Courier New"/>
          <w:b w:val="0"/>
          <w:i w:val="0"/>
          <w:sz w:val="18"/>
        </w:rPr>
        <w:t>GET /api/v1/health</w:t>
      </w:r>
      <w:r>
        <w:t xml:space="preserve">, </w:t>
      </w:r>
      <w:r>
        <w:rPr>
          <w:rFonts w:ascii="Courier New" w:hAnsi="Courier New"/>
          <w:b w:val="0"/>
          <w:i w:val="0"/>
          <w:sz w:val="18"/>
        </w:rPr>
        <w:t>GET /api/v1/model-info</w:t>
      </w:r>
      <w:r>
        <w:t xml:space="preserve"> and </w:t>
      </w:r>
      <w:r>
        <w:rPr>
          <w:rFonts w:ascii="Courier New" w:hAnsi="Courier New"/>
          <w:b w:val="0"/>
          <w:i w:val="0"/>
          <w:sz w:val="18"/>
        </w:rPr>
        <w:t>GET /api/v1/providers</w:t>
      </w:r>
      <w:r>
        <w:t xml:space="preserve"> to diagnose local capability without printing keys.</w:t>
      </w:r>
    </w:p>
    <w:p>
      <w:pPr>
        <w:pStyle w:val="Heading1"/>
      </w:pPr>
      <w:r>
        <w:t>9 Controlled demonstration sequence</w:t>
      </w:r>
    </w:p>
    <w:p>
      <w:pPr>
        <w:pStyle w:val="ListNumber"/>
      </w:pPr>
      <w:r>
        <w:t>Open Overview, switch light/dark themes and verify controls remain readable.</w:t>
      </w:r>
    </w:p>
    <w:p>
      <w:pPr>
        <w:pStyle w:val="ListNumber"/>
      </w:pPr>
      <w:r>
        <w:t>Run Storefront, Phishing pattern and Crypto investment synthetic scenarios; identify the demo notice and missing-score behavior.</w:t>
      </w:r>
    </w:p>
    <w:p>
      <w:pPr>
        <w:pStyle w:val="ListNumber"/>
      </w:pPr>
      <w:r>
        <w:t xml:space="preserve">Submit </w:t>
      </w:r>
      <w:r>
        <w:rPr>
          <w:rFonts w:ascii="Courier New" w:hAnsi="Courier New"/>
          <w:b w:val="0"/>
          <w:i w:val="0"/>
          <w:sz w:val="18"/>
        </w:rPr>
        <w:t>https://example.com/</w:t>
      </w:r>
      <w:r>
        <w:t>; inspect lifecycle, model scope, static evidence and provider status.</w:t>
      </w:r>
    </w:p>
    <w:p>
      <w:pPr>
        <w:pStyle w:val="ListNumber"/>
      </w:pPr>
      <w:r>
        <w:t>Open History and return to the saved benign report.</w:t>
      </w:r>
    </w:p>
    <w:p>
      <w:pPr>
        <w:pStyle w:val="ListNumber"/>
      </w:pPr>
      <w:r>
        <w:t>Download JSON, compare its scan ID and evidence with the report, then select Scan again and confirm a different record.</w:t>
      </w:r>
    </w:p>
    <w:p>
      <w:pPr>
        <w:pStyle w:val="ListNumber"/>
      </w:pPr>
      <w:r>
        <w:t>Review Research and Configuration to explain the measured model tradeoff, optional capabilities and privacy implications.</w:t>
      </w:r>
    </w:p>
    <w:p>
      <w:r>
        <w:t xml:space="preserve">The example.com flow is a demonstration of application behavior, not evidence that WebShield can certify arbitrary sites. Use </w:t>
      </w:r>
      <w:r>
        <w:rPr>
          <w:rFonts w:ascii="Courier New" w:hAnsi="Courier New"/>
          <w:b w:val="0"/>
          <w:i w:val="0"/>
          <w:sz w:val="18"/>
        </w:rPr>
        <w:t>docs/ACCEPTANCE_CHECKLIST.md</w:t>
      </w:r>
      <w:r>
        <w:t xml:space="preserve"> to record independent observations and human acceptance. No academic signature has been supplied.</w:t>
      </w:r>
    </w:p>
    <w:p>
      <w:pPr>
        <w:pStyle w:val="Heading1"/>
      </w:pPr>
      <w:r>
        <w:t>10 Operator references</w:t>
      </w:r>
    </w:p>
    <w:p>
      <w:r>
        <w:t xml:space="preserve">Setup, isolation, verification, preservation of history and restart instructions are in </w:t>
      </w:r>
      <w:r>
        <w:rPr>
          <w:rFonts w:ascii="Courier New" w:hAnsi="Courier New"/>
          <w:b w:val="0"/>
          <w:i w:val="0"/>
          <w:sz w:val="18"/>
        </w:rPr>
        <w:t>docs/DEPLOYMENT_CHECKLIST.md</w:t>
      </w:r>
      <w:r>
        <w:t xml:space="preserve">. API fields are documented in </w:t>
      </w:r>
      <w:r>
        <w:rPr>
          <w:rFonts w:ascii="Courier New" w:hAnsi="Courier New"/>
          <w:b w:val="0"/>
          <w:i w:val="0"/>
          <w:sz w:val="18"/>
        </w:rPr>
        <w:t>docs/API.md</w:t>
      </w:r>
      <w:r>
        <w:t xml:space="preserve">. Evaluation, source provenance, security boundaries and research limitations are in </w:t>
      </w:r>
      <w:r>
        <w:rPr>
          <w:rFonts w:ascii="Courier New" w:hAnsi="Courier New"/>
          <w:b w:val="0"/>
          <w:i w:val="0"/>
          <w:sz w:val="18"/>
        </w:rPr>
        <w:t>docs/EVALUATION.md</w:t>
      </w:r>
      <w:r>
        <w:t xml:space="preserve">, </w:t>
      </w:r>
      <w:r>
        <w:rPr>
          <w:rFonts w:ascii="Courier New" w:hAnsi="Courier New"/>
          <w:b w:val="0"/>
          <w:i w:val="0"/>
          <w:sz w:val="18"/>
        </w:rPr>
        <w:t>docs/DATASET_CARD.md</w:t>
      </w:r>
      <w:r>
        <w:t xml:space="preserve">, </w:t>
      </w:r>
      <w:r>
        <w:rPr>
          <w:rFonts w:ascii="Courier New" w:hAnsi="Courier New"/>
          <w:b w:val="0"/>
          <w:i w:val="0"/>
          <w:sz w:val="18"/>
        </w:rPr>
        <w:t>docs/MODEL_CARD.md</w:t>
      </w:r>
      <w:r>
        <w:t xml:space="preserve"> and </w:t>
      </w:r>
      <w:r>
        <w:rPr>
          <w:rFonts w:ascii="Courier New" w:hAnsi="Courier New"/>
          <w:b w:val="0"/>
          <w:i w:val="0"/>
          <w:sz w:val="18"/>
        </w:rPr>
        <w:t>docs/THREAT_MODEL.md</w:t>
      </w:r>
      <w:r>
        <w:t>. The final report connects the proposal objectives to measured outcomes.</w:t>
      </w:r>
    </w:p>
    <w:p>
      <w:r>
        <w:drawing>
          <wp:inline xmlns:a="http://schemas.openxmlformats.org/drawingml/2006/main" xmlns:pic="http://schemas.openxmlformats.org/drawingml/2006/picture">
            <wp:extent cx="2450678" cy="53035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mobile-overview-l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0678" cy="530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Mobile light dashboard</w:t>
      </w:r>
    </w:p>
    <w:sectPr w:rsidR="00FC693F" w:rsidRPr="0006063C" w:rsidSect="00034616"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 xml:space="preserve">WebShield AI · Sample academic cover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4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4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34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4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WebShield AI User Manual</dc:title>
  <dc:subject>Controlled FYP prototype; sample identity details</dc:subject>
  <dc:creator>Sample Student (demonstration metadata)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