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7A515" w14:textId="3CCD1330" w:rsidR="00BA5C59" w:rsidRDefault="00B301DC" w:rsidP="00B301DC">
      <w:pPr>
        <w:jc w:val="center"/>
        <w:rPr>
          <w:sz w:val="96"/>
          <w:szCs w:val="96"/>
        </w:rPr>
      </w:pPr>
      <w:proofErr w:type="spellStart"/>
      <w:r w:rsidRPr="00B301DC">
        <w:rPr>
          <w:sz w:val="96"/>
          <w:szCs w:val="96"/>
        </w:rPr>
        <w:t>stonehenge</w:t>
      </w:r>
      <w:proofErr w:type="spellEnd"/>
      <w:r w:rsidRPr="00B301DC">
        <w:rPr>
          <w:sz w:val="96"/>
          <w:szCs w:val="96"/>
        </w:rPr>
        <w:t xml:space="preserve"> history</w:t>
      </w:r>
    </w:p>
    <w:p w14:paraId="2265DC66" w14:textId="0142FA05" w:rsidR="00B301DC" w:rsidRDefault="00B301DC" w:rsidP="00B301DC">
      <w:pPr>
        <w:jc w:val="center"/>
        <w:rPr>
          <w:rFonts w:ascii="Georgia" w:hAnsi="Georgia"/>
          <w:color w:val="1A1A1A"/>
          <w:sz w:val="27"/>
          <w:szCs w:val="27"/>
          <w:shd w:val="clear" w:color="auto" w:fill="FFFFFF"/>
        </w:rPr>
      </w:pPr>
      <w:r>
        <w:rPr>
          <w:rStyle w:val="Strong"/>
          <w:rFonts w:ascii="Georgia" w:hAnsi="Georgia"/>
          <w:color w:val="1A1A1A"/>
          <w:sz w:val="27"/>
          <w:szCs w:val="27"/>
          <w:shd w:val="clear" w:color="auto" w:fill="FFFFFF"/>
        </w:rPr>
        <w:t>Stonehenge</w:t>
      </w:r>
      <w:r>
        <w:rPr>
          <w:rFonts w:ascii="Georgia" w:hAnsi="Georgia"/>
          <w:color w:val="1A1A1A"/>
          <w:sz w:val="27"/>
          <w:szCs w:val="27"/>
          <w:shd w:val="clear" w:color="auto" w:fill="FFFFFF"/>
        </w:rPr>
        <w:t>, prehistoric stone circle monument, cemetery, and archaeological site located on </w:t>
      </w:r>
      <w:hyperlink r:id="rId4" w:history="1">
        <w:r>
          <w:rPr>
            <w:rStyle w:val="Hyperlink"/>
            <w:rFonts w:ascii="Georgia" w:hAnsi="Georgia"/>
            <w:color w:val="14599D"/>
            <w:sz w:val="27"/>
            <w:szCs w:val="27"/>
            <w:shd w:val="clear" w:color="auto" w:fill="FFFFFF"/>
          </w:rPr>
          <w:t>Salisbury Plain</w:t>
        </w:r>
      </w:hyperlink>
      <w:r>
        <w:rPr>
          <w:rFonts w:ascii="Georgia" w:hAnsi="Georgia"/>
          <w:color w:val="1A1A1A"/>
          <w:sz w:val="27"/>
          <w:szCs w:val="27"/>
          <w:shd w:val="clear" w:color="auto" w:fill="FFFFFF"/>
        </w:rPr>
        <w:t>, about 8 miles (13 km) north of </w:t>
      </w:r>
      <w:hyperlink r:id="rId5" w:history="1">
        <w:r>
          <w:rPr>
            <w:rStyle w:val="Hyperlink"/>
            <w:rFonts w:ascii="Georgia" w:hAnsi="Georgia"/>
            <w:color w:val="14599D"/>
            <w:sz w:val="27"/>
            <w:szCs w:val="27"/>
            <w:shd w:val="clear" w:color="auto" w:fill="FFFFFF"/>
          </w:rPr>
          <w:t>Salisbury</w:t>
        </w:r>
      </w:hyperlink>
      <w:r>
        <w:rPr>
          <w:rFonts w:ascii="Georgia" w:hAnsi="Georgia"/>
          <w:color w:val="1A1A1A"/>
          <w:sz w:val="27"/>
          <w:szCs w:val="27"/>
          <w:shd w:val="clear" w:color="auto" w:fill="FFFFFF"/>
        </w:rPr>
        <w:t>, </w:t>
      </w:r>
      <w:hyperlink r:id="rId6" w:history="1">
        <w:r>
          <w:rPr>
            <w:rStyle w:val="Hyperlink"/>
            <w:rFonts w:ascii="Georgia" w:hAnsi="Georgia"/>
            <w:color w:val="14599D"/>
            <w:sz w:val="27"/>
            <w:szCs w:val="27"/>
            <w:shd w:val="clear" w:color="auto" w:fill="FFFFFF"/>
          </w:rPr>
          <w:t>Wiltshire</w:t>
        </w:r>
      </w:hyperlink>
      <w:r>
        <w:rPr>
          <w:rFonts w:ascii="Georgia" w:hAnsi="Georgia"/>
          <w:color w:val="1A1A1A"/>
          <w:sz w:val="27"/>
          <w:szCs w:val="27"/>
          <w:shd w:val="clear" w:color="auto" w:fill="FFFFFF"/>
        </w:rPr>
        <w:t>, </w:t>
      </w:r>
      <w:hyperlink r:id="rId7" w:history="1">
        <w:r>
          <w:rPr>
            <w:rStyle w:val="Hyperlink"/>
            <w:rFonts w:ascii="Georgia" w:hAnsi="Georgia"/>
            <w:color w:val="14599D"/>
            <w:sz w:val="27"/>
            <w:szCs w:val="27"/>
            <w:shd w:val="clear" w:color="auto" w:fill="FFFFFF"/>
          </w:rPr>
          <w:t>England</w:t>
        </w:r>
      </w:hyperlink>
      <w:r>
        <w:rPr>
          <w:rFonts w:ascii="Georgia" w:hAnsi="Georgia"/>
          <w:color w:val="1A1A1A"/>
          <w:sz w:val="27"/>
          <w:szCs w:val="27"/>
          <w:shd w:val="clear" w:color="auto" w:fill="FFFFFF"/>
        </w:rPr>
        <w:t>. Though there is no definite evidence as to the intended purpose of Stonehenge, it was presumably a religious site and an expression of the power and wealth of the chieftains, </w:t>
      </w:r>
      <w:hyperlink r:id="rId8" w:history="1">
        <w:r>
          <w:rPr>
            <w:rStyle w:val="Hyperlink"/>
            <w:rFonts w:ascii="Georgia" w:hAnsi="Georgia"/>
            <w:color w:val="14599D"/>
            <w:sz w:val="27"/>
            <w:szCs w:val="27"/>
            <w:shd w:val="clear" w:color="auto" w:fill="FFFFFF"/>
          </w:rPr>
          <w:t>aristocrats</w:t>
        </w:r>
      </w:hyperlink>
      <w:r>
        <w:rPr>
          <w:rFonts w:ascii="Georgia" w:hAnsi="Georgia"/>
          <w:color w:val="1A1A1A"/>
          <w:sz w:val="27"/>
          <w:szCs w:val="27"/>
          <w:shd w:val="clear" w:color="auto" w:fill="FFFFFF"/>
        </w:rPr>
        <w:t xml:space="preserve">, and priests who had it built—many of whom were buried in the numerous barrows close by. It was aligned on the Sun and possibly used for observing the Sun and Moon and working out the farming calendar. Or perhaps the site was dedicated to the world of the ancestors, separated from the world of the living, or was a healing </w:t>
      </w:r>
      <w:proofErr w:type="spellStart"/>
      <w:r>
        <w:rPr>
          <w:rFonts w:ascii="Georgia" w:hAnsi="Georgia"/>
          <w:color w:val="1A1A1A"/>
          <w:sz w:val="27"/>
          <w:szCs w:val="27"/>
          <w:shd w:val="clear" w:color="auto" w:fill="FFFFFF"/>
        </w:rPr>
        <w:t>centre</w:t>
      </w:r>
      <w:proofErr w:type="spellEnd"/>
      <w:r>
        <w:rPr>
          <w:rFonts w:ascii="Georgia" w:hAnsi="Georgia"/>
          <w:color w:val="1A1A1A"/>
          <w:sz w:val="27"/>
          <w:szCs w:val="27"/>
          <w:shd w:val="clear" w:color="auto" w:fill="FFFFFF"/>
        </w:rPr>
        <w:t>. Whether it was used by the </w:t>
      </w:r>
      <w:hyperlink r:id="rId9" w:history="1">
        <w:r>
          <w:rPr>
            <w:rStyle w:val="Hyperlink"/>
            <w:rFonts w:ascii="Georgia" w:hAnsi="Georgia"/>
            <w:color w:val="14599D"/>
            <w:sz w:val="27"/>
            <w:szCs w:val="27"/>
            <w:shd w:val="clear" w:color="auto" w:fill="FFFFFF"/>
          </w:rPr>
          <w:t>Druids</w:t>
        </w:r>
      </w:hyperlink>
      <w:r>
        <w:rPr>
          <w:rFonts w:ascii="Georgia" w:hAnsi="Georgia"/>
          <w:color w:val="1A1A1A"/>
          <w:sz w:val="27"/>
          <w:szCs w:val="27"/>
          <w:shd w:val="clear" w:color="auto" w:fill="FFFFFF"/>
        </w:rPr>
        <w:t> (</w:t>
      </w:r>
      <w:hyperlink r:id="rId10" w:history="1">
        <w:r>
          <w:rPr>
            <w:rStyle w:val="Hyperlink"/>
            <w:rFonts w:ascii="Georgia" w:hAnsi="Georgia"/>
            <w:color w:val="14599D"/>
            <w:sz w:val="27"/>
            <w:szCs w:val="27"/>
            <w:shd w:val="clear" w:color="auto" w:fill="FFFFFF"/>
          </w:rPr>
          <w:t>Celtic</w:t>
        </w:r>
      </w:hyperlink>
      <w:r>
        <w:rPr>
          <w:rFonts w:ascii="Georgia" w:hAnsi="Georgia"/>
          <w:color w:val="1A1A1A"/>
          <w:sz w:val="27"/>
          <w:szCs w:val="27"/>
          <w:shd w:val="clear" w:color="auto" w:fill="FFFFFF"/>
        </w:rPr>
        <w:t> priests) is doubtful, but present-day Druids gather there every year to hail the midsummer sunrise. Looking toward the sunrise, the entrance in the northeast points over a big pillar, now leaning at an angle, called the Heel Stone. Looking the other way, it points to the midwinter sunset. The </w:t>
      </w:r>
      <w:hyperlink r:id="rId11" w:history="1">
        <w:r>
          <w:rPr>
            <w:rStyle w:val="Hyperlink"/>
            <w:rFonts w:ascii="Georgia" w:hAnsi="Georgia"/>
            <w:color w:val="14599D"/>
            <w:sz w:val="27"/>
            <w:szCs w:val="27"/>
            <w:shd w:val="clear" w:color="auto" w:fill="FFFFFF"/>
          </w:rPr>
          <w:t>summer solstice</w:t>
        </w:r>
      </w:hyperlink>
      <w:r>
        <w:rPr>
          <w:rFonts w:ascii="Georgia" w:hAnsi="Georgia"/>
          <w:color w:val="1A1A1A"/>
          <w:sz w:val="27"/>
          <w:szCs w:val="27"/>
          <w:shd w:val="clear" w:color="auto" w:fill="FFFFFF"/>
        </w:rPr>
        <w:t> is also celebrated there by huge crowds of visitors.</w:t>
      </w:r>
    </w:p>
    <w:p w14:paraId="04708697" w14:textId="77777777" w:rsidR="00B301DC" w:rsidRPr="00B301DC" w:rsidRDefault="00B301DC" w:rsidP="00B301DC">
      <w:pPr>
        <w:shd w:val="clear" w:color="auto" w:fill="FFFFFF"/>
        <w:spacing w:after="0" w:line="240" w:lineRule="auto"/>
        <w:rPr>
          <w:rFonts w:ascii="Segoe UI" w:eastAsia="Times New Roman" w:hAnsi="Segoe UI" w:cs="Segoe UI"/>
          <w:color w:val="1A1A1A"/>
          <w:sz w:val="24"/>
          <w:szCs w:val="24"/>
        </w:rPr>
      </w:pPr>
      <w:r w:rsidRPr="00B301DC">
        <w:rPr>
          <w:rFonts w:ascii="Georgia" w:eastAsia="Times New Roman" w:hAnsi="Georgia" w:cs="Segoe UI"/>
          <w:i/>
          <w:iCs/>
          <w:color w:val="666666"/>
          <w:sz w:val="24"/>
          <w:szCs w:val="24"/>
        </w:rPr>
        <w:t xml:space="preserve">age </w:t>
      </w:r>
      <w:proofErr w:type="spellStart"/>
      <w:r w:rsidRPr="00B301DC">
        <w:rPr>
          <w:rFonts w:ascii="Georgia" w:eastAsia="Times New Roman" w:hAnsi="Georgia" w:cs="Segoe UI"/>
          <w:i/>
          <w:iCs/>
          <w:color w:val="666666"/>
          <w:sz w:val="24"/>
          <w:szCs w:val="24"/>
        </w:rPr>
        <w:t>fotostock</w:t>
      </w:r>
      <w:proofErr w:type="spellEnd"/>
      <w:r w:rsidRPr="00B301DC">
        <w:rPr>
          <w:rFonts w:ascii="Georgia" w:eastAsia="Times New Roman" w:hAnsi="Georgia" w:cs="Segoe UI"/>
          <w:i/>
          <w:iCs/>
          <w:color w:val="666666"/>
          <w:sz w:val="24"/>
          <w:szCs w:val="24"/>
        </w:rPr>
        <w:t>/</w:t>
      </w:r>
      <w:proofErr w:type="spellStart"/>
      <w:r w:rsidRPr="00B301DC">
        <w:rPr>
          <w:rFonts w:ascii="Georgia" w:eastAsia="Times New Roman" w:hAnsi="Georgia" w:cs="Segoe UI"/>
          <w:i/>
          <w:iCs/>
          <w:color w:val="666666"/>
          <w:sz w:val="24"/>
          <w:szCs w:val="24"/>
        </w:rPr>
        <w:t>SuperStock</w:t>
      </w:r>
      <w:proofErr w:type="spellEnd"/>
    </w:p>
    <w:p w14:paraId="6BE7F0A5" w14:textId="6DAFC9E7" w:rsidR="00B301DC" w:rsidRPr="00B301DC" w:rsidRDefault="00B301DC" w:rsidP="00B301DC">
      <w:pPr>
        <w:shd w:val="clear" w:color="auto" w:fill="FFFFFF"/>
        <w:spacing w:after="0" w:line="240" w:lineRule="auto"/>
        <w:rPr>
          <w:rFonts w:ascii="Segoe UI" w:eastAsia="Times New Roman" w:hAnsi="Segoe UI" w:cs="Segoe UI"/>
          <w:color w:val="1A1A1A"/>
          <w:sz w:val="24"/>
          <w:szCs w:val="24"/>
        </w:rPr>
      </w:pPr>
      <w:r w:rsidRPr="00B301DC">
        <w:rPr>
          <w:rFonts w:ascii="Segoe UI" w:eastAsia="Times New Roman" w:hAnsi="Segoe UI" w:cs="Segoe UI"/>
          <w:noProof/>
          <w:color w:val="14599D"/>
          <w:sz w:val="24"/>
          <w:szCs w:val="24"/>
        </w:rPr>
        <w:drawing>
          <wp:inline distT="0" distB="0" distL="0" distR="0" wp14:anchorId="7141CD5E" wp14:editId="27FE9BE8">
            <wp:extent cx="5943600" cy="3342005"/>
            <wp:effectExtent l="0" t="0" r="0" b="0"/>
            <wp:docPr id="1" name="Picture 1" descr="Stonehen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neheng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3C07E712" w14:textId="77777777" w:rsidR="00B301DC" w:rsidRPr="00B301DC" w:rsidRDefault="00B301DC" w:rsidP="00B301DC">
      <w:pPr>
        <w:shd w:val="clear" w:color="auto" w:fill="FFFFFF"/>
        <w:spacing w:after="0" w:line="240" w:lineRule="auto"/>
        <w:rPr>
          <w:rFonts w:ascii="Segoe UI" w:eastAsia="Times New Roman" w:hAnsi="Segoe UI" w:cs="Segoe UI"/>
          <w:color w:val="1A1A1A"/>
          <w:sz w:val="24"/>
          <w:szCs w:val="24"/>
        </w:rPr>
      </w:pPr>
      <w:hyperlink r:id="rId14" w:history="1">
        <w:r w:rsidRPr="00B301DC">
          <w:rPr>
            <w:rFonts w:ascii="Segoe UI" w:eastAsia="Times New Roman" w:hAnsi="Segoe UI" w:cs="Segoe UI"/>
            <w:b/>
            <w:bCs/>
            <w:color w:val="14599D"/>
            <w:sz w:val="24"/>
            <w:szCs w:val="24"/>
            <w:u w:val="single"/>
          </w:rPr>
          <w:t>Stonehenge</w:t>
        </w:r>
      </w:hyperlink>
    </w:p>
    <w:p w14:paraId="16388491" w14:textId="77777777" w:rsidR="00B301DC" w:rsidRPr="00B301DC" w:rsidRDefault="00B301DC" w:rsidP="00B301DC">
      <w:pPr>
        <w:shd w:val="clear" w:color="auto" w:fill="FFFFFF"/>
        <w:spacing w:after="0" w:line="240" w:lineRule="auto"/>
        <w:rPr>
          <w:rFonts w:ascii="Georgia" w:eastAsia="Times New Roman" w:hAnsi="Georgia" w:cs="Segoe UI"/>
          <w:color w:val="666666"/>
          <w:sz w:val="21"/>
          <w:szCs w:val="21"/>
        </w:rPr>
      </w:pPr>
      <w:r w:rsidRPr="00B301DC">
        <w:rPr>
          <w:rFonts w:ascii="Georgia" w:eastAsia="Times New Roman" w:hAnsi="Georgia" w:cs="Segoe UI"/>
          <w:color w:val="666666"/>
          <w:sz w:val="21"/>
          <w:szCs w:val="21"/>
        </w:rPr>
        <w:t>Stonehenge, Wiltshire, England, designated a World Heritage site in 1986.</w:t>
      </w:r>
    </w:p>
    <w:p w14:paraId="11427F27" w14:textId="77777777" w:rsidR="00B301DC" w:rsidRPr="00B301DC" w:rsidRDefault="00B301DC" w:rsidP="00B301DC">
      <w:pPr>
        <w:shd w:val="clear" w:color="auto" w:fill="FFFFFF"/>
        <w:spacing w:after="0" w:line="240" w:lineRule="auto"/>
        <w:rPr>
          <w:rFonts w:ascii="Segoe UI" w:eastAsia="Times New Roman" w:hAnsi="Segoe UI" w:cs="Segoe UI"/>
          <w:color w:val="1A1A1A"/>
          <w:sz w:val="24"/>
          <w:szCs w:val="24"/>
        </w:rPr>
      </w:pPr>
      <w:proofErr w:type="spellStart"/>
      <w:r w:rsidRPr="00B301DC">
        <w:rPr>
          <w:rFonts w:ascii="Georgia" w:eastAsia="Times New Roman" w:hAnsi="Georgia" w:cs="Segoe UI"/>
          <w:i/>
          <w:iCs/>
          <w:color w:val="666666"/>
          <w:sz w:val="24"/>
          <w:szCs w:val="24"/>
        </w:rPr>
        <w:t>Encyclopædia</w:t>
      </w:r>
      <w:proofErr w:type="spellEnd"/>
      <w:r w:rsidRPr="00B301DC">
        <w:rPr>
          <w:rFonts w:ascii="Georgia" w:eastAsia="Times New Roman" w:hAnsi="Georgia" w:cs="Segoe UI"/>
          <w:i/>
          <w:iCs/>
          <w:color w:val="666666"/>
          <w:sz w:val="24"/>
          <w:szCs w:val="24"/>
        </w:rPr>
        <w:t xml:space="preserve"> Britannica, Inc.</w:t>
      </w:r>
    </w:p>
    <w:p w14:paraId="3F14B1CB" w14:textId="77777777" w:rsidR="00B301DC" w:rsidRPr="00B301DC" w:rsidRDefault="00B301DC" w:rsidP="00B301DC">
      <w:pPr>
        <w:shd w:val="clear" w:color="auto" w:fill="FFFFFF"/>
        <w:spacing w:after="0" w:line="240" w:lineRule="auto"/>
        <w:rPr>
          <w:rFonts w:ascii="Georgia" w:eastAsia="Times New Roman" w:hAnsi="Georgia" w:cs="Times New Roman"/>
          <w:color w:val="1A1A1A"/>
          <w:sz w:val="24"/>
          <w:szCs w:val="24"/>
        </w:rPr>
      </w:pPr>
      <w:r w:rsidRPr="00B301DC">
        <w:rPr>
          <w:rFonts w:ascii="Georgia" w:eastAsia="Times New Roman" w:hAnsi="Georgia" w:cs="Times New Roman"/>
          <w:color w:val="1A1A1A"/>
          <w:sz w:val="24"/>
          <w:szCs w:val="24"/>
        </w:rPr>
        <w:lastRenderedPageBreak/>
        <w:t>Stonehenge was built in six stages between 3000 and 1520 </w:t>
      </w:r>
      <w:r w:rsidRPr="00B301DC">
        <w:rPr>
          <w:rFonts w:ascii="Georgia" w:eastAsia="Times New Roman" w:hAnsi="Georgia" w:cs="Times New Roman"/>
          <w:caps/>
          <w:color w:val="1A1A1A"/>
          <w:sz w:val="19"/>
          <w:szCs w:val="19"/>
        </w:rPr>
        <w:t>BCE</w:t>
      </w:r>
      <w:r w:rsidRPr="00B301DC">
        <w:rPr>
          <w:rFonts w:ascii="Georgia" w:eastAsia="Times New Roman" w:hAnsi="Georgia" w:cs="Times New Roman"/>
          <w:color w:val="1A1A1A"/>
          <w:sz w:val="24"/>
          <w:szCs w:val="24"/>
        </w:rPr>
        <w:t>, during the </w:t>
      </w:r>
      <w:hyperlink r:id="rId15" w:history="1">
        <w:r w:rsidRPr="00B301DC">
          <w:rPr>
            <w:rFonts w:ascii="Georgia" w:eastAsia="Times New Roman" w:hAnsi="Georgia" w:cs="Times New Roman"/>
            <w:color w:val="14599D"/>
            <w:sz w:val="24"/>
            <w:szCs w:val="24"/>
            <w:u w:val="single"/>
          </w:rPr>
          <w:t>transition</w:t>
        </w:r>
      </w:hyperlink>
      <w:r w:rsidRPr="00B301DC">
        <w:rPr>
          <w:rFonts w:ascii="Georgia" w:eastAsia="Times New Roman" w:hAnsi="Georgia" w:cs="Times New Roman"/>
          <w:color w:val="1A1A1A"/>
          <w:sz w:val="24"/>
          <w:szCs w:val="24"/>
        </w:rPr>
        <w:t> from the </w:t>
      </w:r>
      <w:hyperlink r:id="rId16" w:history="1">
        <w:r w:rsidRPr="00B301DC">
          <w:rPr>
            <w:rFonts w:ascii="Georgia" w:eastAsia="Times New Roman" w:hAnsi="Georgia" w:cs="Times New Roman"/>
            <w:color w:val="14599D"/>
            <w:sz w:val="24"/>
            <w:szCs w:val="24"/>
            <w:u w:val="single"/>
          </w:rPr>
          <w:t>Neolithic Period</w:t>
        </w:r>
      </w:hyperlink>
      <w:r w:rsidRPr="00B301DC">
        <w:rPr>
          <w:rFonts w:ascii="Georgia" w:eastAsia="Times New Roman" w:hAnsi="Georgia" w:cs="Times New Roman"/>
          <w:color w:val="1A1A1A"/>
          <w:sz w:val="24"/>
          <w:szCs w:val="24"/>
        </w:rPr>
        <w:t> (New Stone Age) to the </w:t>
      </w:r>
      <w:hyperlink r:id="rId17" w:history="1">
        <w:r w:rsidRPr="00B301DC">
          <w:rPr>
            <w:rFonts w:ascii="Georgia" w:eastAsia="Times New Roman" w:hAnsi="Georgia" w:cs="Times New Roman"/>
            <w:color w:val="14599D"/>
            <w:sz w:val="24"/>
            <w:szCs w:val="24"/>
            <w:u w:val="single"/>
          </w:rPr>
          <w:t>Bronze Age</w:t>
        </w:r>
      </w:hyperlink>
      <w:r w:rsidRPr="00B301DC">
        <w:rPr>
          <w:rFonts w:ascii="Georgia" w:eastAsia="Times New Roman" w:hAnsi="Georgia" w:cs="Times New Roman"/>
          <w:color w:val="1A1A1A"/>
          <w:sz w:val="24"/>
          <w:szCs w:val="24"/>
        </w:rPr>
        <w:t>. As a prehistoric stone circle, it is unique because of its artificially shaped </w:t>
      </w:r>
      <w:hyperlink r:id="rId18" w:history="1">
        <w:r w:rsidRPr="00B301DC">
          <w:rPr>
            <w:rFonts w:ascii="Georgia" w:eastAsia="Times New Roman" w:hAnsi="Georgia" w:cs="Times New Roman"/>
            <w:color w:val="14599D"/>
            <w:sz w:val="24"/>
            <w:szCs w:val="24"/>
            <w:u w:val="single"/>
          </w:rPr>
          <w:t>sarsen</w:t>
        </w:r>
      </w:hyperlink>
      <w:r w:rsidRPr="00B301DC">
        <w:rPr>
          <w:rFonts w:ascii="Georgia" w:eastAsia="Times New Roman" w:hAnsi="Georgia" w:cs="Times New Roman"/>
          <w:color w:val="1A1A1A"/>
          <w:sz w:val="24"/>
          <w:szCs w:val="24"/>
        </w:rPr>
        <w:t> stones (blocks of </w:t>
      </w:r>
      <w:hyperlink r:id="rId19" w:history="1">
        <w:r w:rsidRPr="00B301DC">
          <w:rPr>
            <w:rFonts w:ascii="Georgia" w:eastAsia="Times New Roman" w:hAnsi="Georgia" w:cs="Times New Roman"/>
            <w:color w:val="14599D"/>
            <w:sz w:val="24"/>
            <w:szCs w:val="24"/>
            <w:u w:val="single"/>
          </w:rPr>
          <w:t>Cenozoic</w:t>
        </w:r>
      </w:hyperlink>
      <w:r w:rsidRPr="00B301DC">
        <w:rPr>
          <w:rFonts w:ascii="Georgia" w:eastAsia="Times New Roman" w:hAnsi="Georgia" w:cs="Times New Roman"/>
          <w:color w:val="1A1A1A"/>
          <w:sz w:val="24"/>
          <w:szCs w:val="24"/>
        </w:rPr>
        <w:t> silcrete), arranged in </w:t>
      </w:r>
      <w:hyperlink r:id="rId20" w:history="1">
        <w:r w:rsidRPr="00B301DC">
          <w:rPr>
            <w:rFonts w:ascii="Georgia" w:eastAsia="Times New Roman" w:hAnsi="Georgia" w:cs="Times New Roman"/>
            <w:color w:val="14599D"/>
            <w:sz w:val="24"/>
            <w:szCs w:val="24"/>
            <w:u w:val="single"/>
          </w:rPr>
          <w:t>post-and-lintel formation</w:t>
        </w:r>
      </w:hyperlink>
      <w:r w:rsidRPr="00B301DC">
        <w:rPr>
          <w:rFonts w:ascii="Georgia" w:eastAsia="Times New Roman" w:hAnsi="Georgia" w:cs="Times New Roman"/>
          <w:color w:val="1A1A1A"/>
          <w:sz w:val="24"/>
          <w:szCs w:val="24"/>
        </w:rPr>
        <w:t>, and because of the remote origin of its smaller </w:t>
      </w:r>
      <w:hyperlink r:id="rId21" w:history="1">
        <w:r w:rsidRPr="00B301DC">
          <w:rPr>
            <w:rFonts w:ascii="Georgia" w:eastAsia="Times New Roman" w:hAnsi="Georgia" w:cs="Times New Roman"/>
            <w:color w:val="14599D"/>
            <w:sz w:val="24"/>
            <w:szCs w:val="24"/>
            <w:u w:val="single"/>
          </w:rPr>
          <w:t>bluestones</w:t>
        </w:r>
      </w:hyperlink>
      <w:r w:rsidRPr="00B301DC">
        <w:rPr>
          <w:rFonts w:ascii="Georgia" w:eastAsia="Times New Roman" w:hAnsi="Georgia" w:cs="Times New Roman"/>
          <w:color w:val="1A1A1A"/>
          <w:sz w:val="24"/>
          <w:szCs w:val="24"/>
        </w:rPr>
        <w:t> (</w:t>
      </w:r>
      <w:hyperlink r:id="rId22" w:history="1">
        <w:r w:rsidRPr="00B301DC">
          <w:rPr>
            <w:rFonts w:ascii="Georgia" w:eastAsia="Times New Roman" w:hAnsi="Georgia" w:cs="Times New Roman"/>
            <w:color w:val="14599D"/>
            <w:sz w:val="24"/>
            <w:szCs w:val="24"/>
            <w:u w:val="single"/>
          </w:rPr>
          <w:t>igneous</w:t>
        </w:r>
      </w:hyperlink>
      <w:r w:rsidRPr="00B301DC">
        <w:rPr>
          <w:rFonts w:ascii="Georgia" w:eastAsia="Times New Roman" w:hAnsi="Georgia" w:cs="Times New Roman"/>
          <w:color w:val="1A1A1A"/>
          <w:sz w:val="24"/>
          <w:szCs w:val="24"/>
        </w:rPr>
        <w:t> and other rocks) from 100–150 miles (160–240 km) away, in South Wales. The name of the monument probably derives from the Saxon </w:t>
      </w:r>
      <w:r w:rsidRPr="00B301DC">
        <w:rPr>
          <w:rFonts w:ascii="Georgia" w:eastAsia="Times New Roman" w:hAnsi="Georgia" w:cs="Times New Roman"/>
          <w:i/>
          <w:iCs/>
          <w:color w:val="1A1A1A"/>
          <w:sz w:val="24"/>
          <w:szCs w:val="24"/>
        </w:rPr>
        <w:t>stan-</w:t>
      </w:r>
      <w:proofErr w:type="spellStart"/>
      <w:r w:rsidRPr="00B301DC">
        <w:rPr>
          <w:rFonts w:ascii="Georgia" w:eastAsia="Times New Roman" w:hAnsi="Georgia" w:cs="Times New Roman"/>
          <w:i/>
          <w:iCs/>
          <w:color w:val="1A1A1A"/>
          <w:sz w:val="24"/>
          <w:szCs w:val="24"/>
        </w:rPr>
        <w:t>hengen</w:t>
      </w:r>
      <w:proofErr w:type="spellEnd"/>
      <w:r w:rsidRPr="00B301DC">
        <w:rPr>
          <w:rFonts w:ascii="Georgia" w:eastAsia="Times New Roman" w:hAnsi="Georgia" w:cs="Times New Roman"/>
          <w:color w:val="1A1A1A"/>
          <w:sz w:val="24"/>
          <w:szCs w:val="24"/>
        </w:rPr>
        <w:t>, meaning “stone hanging” or “gallows.” Along with more than 350 nearby monuments and henges (ancient earthworks consisting of a circular bank and ditch), including the kindred temple complex at </w:t>
      </w:r>
      <w:hyperlink r:id="rId23" w:history="1">
        <w:r w:rsidRPr="00B301DC">
          <w:rPr>
            <w:rFonts w:ascii="Georgia" w:eastAsia="Times New Roman" w:hAnsi="Georgia" w:cs="Times New Roman"/>
            <w:color w:val="14599D"/>
            <w:sz w:val="24"/>
            <w:szCs w:val="24"/>
            <w:u w:val="single"/>
          </w:rPr>
          <w:t>Avebury</w:t>
        </w:r>
      </w:hyperlink>
      <w:r w:rsidRPr="00B301DC">
        <w:rPr>
          <w:rFonts w:ascii="Georgia" w:eastAsia="Times New Roman" w:hAnsi="Georgia" w:cs="Times New Roman"/>
          <w:color w:val="1A1A1A"/>
          <w:sz w:val="24"/>
          <w:szCs w:val="24"/>
        </w:rPr>
        <w:t>, Stonehenge was designated a </w:t>
      </w:r>
      <w:hyperlink r:id="rId24" w:history="1">
        <w:r w:rsidRPr="00B301DC">
          <w:rPr>
            <w:rFonts w:ascii="Georgia" w:eastAsia="Times New Roman" w:hAnsi="Georgia" w:cs="Times New Roman"/>
            <w:color w:val="14599D"/>
            <w:sz w:val="24"/>
            <w:szCs w:val="24"/>
            <w:u w:val="single"/>
          </w:rPr>
          <w:t>UNESCO</w:t>
        </w:r>
      </w:hyperlink>
      <w:r w:rsidRPr="00B301DC">
        <w:rPr>
          <w:rFonts w:ascii="Georgia" w:eastAsia="Times New Roman" w:hAnsi="Georgia" w:cs="Times New Roman"/>
          <w:color w:val="1A1A1A"/>
          <w:sz w:val="24"/>
          <w:szCs w:val="24"/>
        </w:rPr>
        <w:t> </w:t>
      </w:r>
      <w:hyperlink r:id="rId25" w:history="1">
        <w:r w:rsidRPr="00B301DC">
          <w:rPr>
            <w:rFonts w:ascii="Georgia" w:eastAsia="Times New Roman" w:hAnsi="Georgia" w:cs="Times New Roman"/>
            <w:color w:val="14599D"/>
            <w:sz w:val="24"/>
            <w:szCs w:val="24"/>
            <w:u w:val="single"/>
          </w:rPr>
          <w:t>World Heritage site</w:t>
        </w:r>
      </w:hyperlink>
      <w:r w:rsidRPr="00B301DC">
        <w:rPr>
          <w:rFonts w:ascii="Georgia" w:eastAsia="Times New Roman" w:hAnsi="Georgia" w:cs="Times New Roman"/>
          <w:color w:val="1A1A1A"/>
          <w:sz w:val="24"/>
          <w:szCs w:val="24"/>
        </w:rPr>
        <w:t> in 1986.</w:t>
      </w:r>
    </w:p>
    <w:p w14:paraId="017E4838" w14:textId="77777777" w:rsidR="00B301DC" w:rsidRPr="00B301DC" w:rsidRDefault="00B301DC" w:rsidP="00B301DC">
      <w:pPr>
        <w:jc w:val="center"/>
        <w:rPr>
          <w:sz w:val="96"/>
          <w:szCs w:val="96"/>
        </w:rPr>
      </w:pPr>
    </w:p>
    <w:sectPr w:rsidR="00B301DC" w:rsidRPr="00B30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DC"/>
    <w:rsid w:val="004D3718"/>
    <w:rsid w:val="00B301DC"/>
    <w:rsid w:val="00BA5C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DBC20"/>
  <w15:chartTrackingRefBased/>
  <w15:docId w15:val="{C5778DAC-47BE-4442-AD9F-95BED2490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01DC"/>
    <w:rPr>
      <w:b/>
      <w:bCs/>
    </w:rPr>
  </w:style>
  <w:style w:type="character" w:styleId="Hyperlink">
    <w:name w:val="Hyperlink"/>
    <w:basedOn w:val="DefaultParagraphFont"/>
    <w:uiPriority w:val="99"/>
    <w:semiHidden/>
    <w:unhideWhenUsed/>
    <w:rsid w:val="00B301DC"/>
    <w:rPr>
      <w:color w:val="0000FF"/>
      <w:u w:val="single"/>
    </w:rPr>
  </w:style>
  <w:style w:type="character" w:styleId="HTMLCite">
    <w:name w:val="HTML Cite"/>
    <w:basedOn w:val="DefaultParagraphFont"/>
    <w:uiPriority w:val="99"/>
    <w:semiHidden/>
    <w:unhideWhenUsed/>
    <w:rsid w:val="00B301DC"/>
    <w:rPr>
      <w:i/>
      <w:iCs/>
    </w:rPr>
  </w:style>
  <w:style w:type="character" w:styleId="Emphasis">
    <w:name w:val="Emphasis"/>
    <w:basedOn w:val="DefaultParagraphFont"/>
    <w:uiPriority w:val="20"/>
    <w:qFormat/>
    <w:rsid w:val="00B301DC"/>
    <w:rPr>
      <w:i/>
      <w:iCs/>
    </w:rPr>
  </w:style>
  <w:style w:type="paragraph" w:customStyle="1" w:styleId="topic-paragraph">
    <w:name w:val="topic-paragraph"/>
    <w:basedOn w:val="Normal"/>
    <w:rsid w:val="00B301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smallcaps">
    <w:name w:val="text-smallcaps"/>
    <w:basedOn w:val="DefaultParagraphFont"/>
    <w:rsid w:val="00B30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150371">
      <w:bodyDiv w:val="1"/>
      <w:marLeft w:val="0"/>
      <w:marRight w:val="0"/>
      <w:marTop w:val="0"/>
      <w:marBottom w:val="0"/>
      <w:divBdr>
        <w:top w:val="none" w:sz="0" w:space="0" w:color="auto"/>
        <w:left w:val="none" w:sz="0" w:space="0" w:color="auto"/>
        <w:bottom w:val="none" w:sz="0" w:space="0" w:color="auto"/>
        <w:right w:val="none" w:sz="0" w:space="0" w:color="auto"/>
      </w:divBdr>
    </w:div>
    <w:div w:id="1213076698">
      <w:bodyDiv w:val="1"/>
      <w:marLeft w:val="0"/>
      <w:marRight w:val="0"/>
      <w:marTop w:val="0"/>
      <w:marBottom w:val="0"/>
      <w:divBdr>
        <w:top w:val="none" w:sz="0" w:space="0" w:color="auto"/>
        <w:left w:val="none" w:sz="0" w:space="0" w:color="auto"/>
        <w:bottom w:val="none" w:sz="0" w:space="0" w:color="auto"/>
        <w:right w:val="none" w:sz="0" w:space="0" w:color="auto"/>
      </w:divBdr>
      <w:divsChild>
        <w:div w:id="1293287506">
          <w:marLeft w:val="0"/>
          <w:marRight w:val="0"/>
          <w:marTop w:val="0"/>
          <w:marBottom w:val="0"/>
          <w:divBdr>
            <w:top w:val="none" w:sz="0" w:space="0" w:color="auto"/>
            <w:left w:val="none" w:sz="0" w:space="0" w:color="auto"/>
            <w:bottom w:val="none" w:sz="0" w:space="0" w:color="auto"/>
            <w:right w:val="none" w:sz="0" w:space="0" w:color="auto"/>
          </w:divBdr>
          <w:divsChild>
            <w:div w:id="898709343">
              <w:marLeft w:val="0"/>
              <w:marRight w:val="0"/>
              <w:marTop w:val="0"/>
              <w:marBottom w:val="0"/>
              <w:divBdr>
                <w:top w:val="none" w:sz="0" w:space="0" w:color="auto"/>
                <w:left w:val="none" w:sz="0" w:space="0" w:color="auto"/>
                <w:bottom w:val="none" w:sz="0" w:space="0" w:color="auto"/>
                <w:right w:val="none" w:sz="0" w:space="0" w:color="auto"/>
              </w:divBdr>
              <w:divsChild>
                <w:div w:id="2146772756">
                  <w:marLeft w:val="0"/>
                  <w:marRight w:val="0"/>
                  <w:marTop w:val="0"/>
                  <w:marBottom w:val="0"/>
                  <w:divBdr>
                    <w:top w:val="none" w:sz="0" w:space="0" w:color="auto"/>
                    <w:left w:val="none" w:sz="0" w:space="0" w:color="auto"/>
                    <w:bottom w:val="none" w:sz="0" w:space="0" w:color="auto"/>
                    <w:right w:val="none" w:sz="0" w:space="0" w:color="auto"/>
                  </w:divBdr>
                  <w:divsChild>
                    <w:div w:id="653335413">
                      <w:marLeft w:val="0"/>
                      <w:marRight w:val="0"/>
                      <w:marTop w:val="0"/>
                      <w:marBottom w:val="0"/>
                      <w:divBdr>
                        <w:top w:val="none" w:sz="0" w:space="0" w:color="auto"/>
                        <w:left w:val="none" w:sz="0" w:space="0" w:color="auto"/>
                        <w:bottom w:val="none" w:sz="0" w:space="0" w:color="auto"/>
                        <w:right w:val="none" w:sz="0" w:space="0" w:color="auto"/>
                      </w:divBdr>
                    </w:div>
                    <w:div w:id="1668091134">
                      <w:marLeft w:val="0"/>
                      <w:marRight w:val="0"/>
                      <w:marTop w:val="0"/>
                      <w:marBottom w:val="0"/>
                      <w:divBdr>
                        <w:top w:val="none" w:sz="0" w:space="0" w:color="auto"/>
                        <w:left w:val="none" w:sz="0" w:space="0" w:color="auto"/>
                        <w:bottom w:val="none" w:sz="0" w:space="0" w:color="auto"/>
                        <w:right w:val="none" w:sz="0" w:space="0" w:color="auto"/>
                      </w:divBdr>
                      <w:divsChild>
                        <w:div w:id="1487287336">
                          <w:marLeft w:val="0"/>
                          <w:marRight w:val="0"/>
                          <w:marTop w:val="0"/>
                          <w:marBottom w:val="0"/>
                          <w:divBdr>
                            <w:top w:val="none" w:sz="0" w:space="0" w:color="auto"/>
                            <w:left w:val="none" w:sz="0" w:space="0" w:color="auto"/>
                            <w:bottom w:val="none" w:sz="0" w:space="0" w:color="auto"/>
                            <w:right w:val="none" w:sz="0" w:space="0" w:color="auto"/>
                          </w:divBdr>
                        </w:div>
                        <w:div w:id="3882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828959">
      <w:bodyDiv w:val="1"/>
      <w:marLeft w:val="0"/>
      <w:marRight w:val="0"/>
      <w:marTop w:val="0"/>
      <w:marBottom w:val="0"/>
      <w:divBdr>
        <w:top w:val="none" w:sz="0" w:space="0" w:color="auto"/>
        <w:left w:val="none" w:sz="0" w:space="0" w:color="auto"/>
        <w:bottom w:val="none" w:sz="0" w:space="0" w:color="auto"/>
        <w:right w:val="none" w:sz="0" w:space="0" w:color="auto"/>
      </w:divBdr>
      <w:divsChild>
        <w:div w:id="951281997">
          <w:marLeft w:val="0"/>
          <w:marRight w:val="0"/>
          <w:marTop w:val="0"/>
          <w:marBottom w:val="0"/>
          <w:divBdr>
            <w:top w:val="none" w:sz="0" w:space="0" w:color="auto"/>
            <w:left w:val="none" w:sz="0" w:space="0" w:color="auto"/>
            <w:bottom w:val="none" w:sz="0" w:space="0" w:color="auto"/>
            <w:right w:val="none" w:sz="0" w:space="0" w:color="auto"/>
          </w:divBdr>
          <w:divsChild>
            <w:div w:id="881793638">
              <w:marLeft w:val="0"/>
              <w:marRight w:val="0"/>
              <w:marTop w:val="0"/>
              <w:marBottom w:val="0"/>
              <w:divBdr>
                <w:top w:val="none" w:sz="0" w:space="0" w:color="auto"/>
                <w:left w:val="none" w:sz="0" w:space="0" w:color="auto"/>
                <w:bottom w:val="none" w:sz="0" w:space="0" w:color="auto"/>
                <w:right w:val="none" w:sz="0" w:space="0" w:color="auto"/>
              </w:divBdr>
              <w:divsChild>
                <w:div w:id="1133330815">
                  <w:marLeft w:val="0"/>
                  <w:marRight w:val="0"/>
                  <w:marTop w:val="0"/>
                  <w:marBottom w:val="0"/>
                  <w:divBdr>
                    <w:top w:val="none" w:sz="0" w:space="0" w:color="auto"/>
                    <w:left w:val="none" w:sz="0" w:space="0" w:color="auto"/>
                    <w:bottom w:val="none" w:sz="0" w:space="0" w:color="auto"/>
                    <w:right w:val="none" w:sz="0" w:space="0" w:color="auto"/>
                  </w:divBdr>
                  <w:divsChild>
                    <w:div w:id="26850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dictionary/aristocrats" TargetMode="External"/><Relationship Id="rId13" Type="http://schemas.openxmlformats.org/officeDocument/2006/relationships/image" Target="media/image1.gif"/><Relationship Id="rId18" Type="http://schemas.openxmlformats.org/officeDocument/2006/relationships/hyperlink" Target="https://www.britannica.com/science/sarsen"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britannica.com/science/bluestone" TargetMode="External"/><Relationship Id="rId7" Type="http://schemas.openxmlformats.org/officeDocument/2006/relationships/hyperlink" Target="https://www.britannica.com/place/England" TargetMode="External"/><Relationship Id="rId12" Type="http://schemas.openxmlformats.org/officeDocument/2006/relationships/hyperlink" Target="https://cdn.britannica.com/97/19697-050-420F356E/Stonehenge-Wiltshire-Eng-World-Heritage-site-1986.jpg" TargetMode="External"/><Relationship Id="rId17" Type="http://schemas.openxmlformats.org/officeDocument/2006/relationships/hyperlink" Target="https://www.britannica.com/event/Bronze-Age" TargetMode="External"/><Relationship Id="rId25" Type="http://schemas.openxmlformats.org/officeDocument/2006/relationships/hyperlink" Target="https://www.britannica.com/topic/World-Heritage-site" TargetMode="External"/><Relationship Id="rId2" Type="http://schemas.openxmlformats.org/officeDocument/2006/relationships/settings" Target="settings.xml"/><Relationship Id="rId16" Type="http://schemas.openxmlformats.org/officeDocument/2006/relationships/hyperlink" Target="https://www.britannica.com/event/Neolithic" TargetMode="External"/><Relationship Id="rId20" Type="http://schemas.openxmlformats.org/officeDocument/2006/relationships/hyperlink" Target="https://www.britannica.com/technology/post-and-lintel-system" TargetMode="External"/><Relationship Id="rId1" Type="http://schemas.openxmlformats.org/officeDocument/2006/relationships/styles" Target="styles.xml"/><Relationship Id="rId6" Type="http://schemas.openxmlformats.org/officeDocument/2006/relationships/hyperlink" Target="https://www.britannica.com/place/Wiltshire" TargetMode="External"/><Relationship Id="rId11" Type="http://schemas.openxmlformats.org/officeDocument/2006/relationships/hyperlink" Target="https://www.britannica.com/science/summer-solstice-astronomy" TargetMode="External"/><Relationship Id="rId24" Type="http://schemas.openxmlformats.org/officeDocument/2006/relationships/hyperlink" Target="https://www.britannica.com/topic/UNESCO" TargetMode="External"/><Relationship Id="rId5" Type="http://schemas.openxmlformats.org/officeDocument/2006/relationships/hyperlink" Target="https://www.britannica.com/place/Salisbury-England" TargetMode="External"/><Relationship Id="rId15" Type="http://schemas.openxmlformats.org/officeDocument/2006/relationships/hyperlink" Target="https://www.britannica.com/dictionary/transition" TargetMode="External"/><Relationship Id="rId23" Type="http://schemas.openxmlformats.org/officeDocument/2006/relationships/hyperlink" Target="https://www.britannica.com/place/Avebury-archaeological-site-England" TargetMode="External"/><Relationship Id="rId10" Type="http://schemas.openxmlformats.org/officeDocument/2006/relationships/hyperlink" Target="https://www.britannica.com/topic/Celtic" TargetMode="External"/><Relationship Id="rId19" Type="http://schemas.openxmlformats.org/officeDocument/2006/relationships/hyperlink" Target="https://www.britannica.com/science/Cenozoic-Era" TargetMode="External"/><Relationship Id="rId4" Type="http://schemas.openxmlformats.org/officeDocument/2006/relationships/hyperlink" Target="https://www.britannica.com/place/Salisbury-Plain-England" TargetMode="External"/><Relationship Id="rId9" Type="http://schemas.openxmlformats.org/officeDocument/2006/relationships/hyperlink" Target="https://www.britannica.com/topic/Druid" TargetMode="External"/><Relationship Id="rId14" Type="http://schemas.openxmlformats.org/officeDocument/2006/relationships/hyperlink" Target="https://cdn.britannica.com/97/19697-050-420F356E/Stonehenge-Wiltshire-Eng-World-Heritage-site-1986.jpg" TargetMode="External"/><Relationship Id="rId22" Type="http://schemas.openxmlformats.org/officeDocument/2006/relationships/hyperlink" Target="https://www.britannica.com/science/igneous-roc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Sharjeel</dc:creator>
  <cp:keywords/>
  <dc:description/>
  <cp:lastModifiedBy>Sharjeel</cp:lastModifiedBy>
  <cp:revision>1</cp:revision>
  <dcterms:created xsi:type="dcterms:W3CDTF">2022-04-24T12:10:00Z</dcterms:created>
  <dcterms:modified xsi:type="dcterms:W3CDTF">2022-04-24T15:47:00Z</dcterms:modified>
</cp:coreProperties>
</file>