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pPr>
      <w:r>
        <w:rPr>
          <w:rFonts w:ascii="Calibri" w:hAnsi="Calibri"/>
          <w:b/>
          <w:color w:val="2E74B5"/>
          <w:sz w:val="52"/>
        </w:rPr>
        <w:t>Task 3: Medical Insurance Claim Amount Prediction Report</w:t>
      </w:r>
    </w:p>
    <w:p>
      <w:pPr>
        <w:pStyle w:val="Heading1"/>
        <w:spacing w:before="240" w:after="120"/>
      </w:pPr>
      <w:r>
        <w:rPr>
          <w:rFonts w:ascii="Calibri" w:hAnsi="Calibri"/>
          <w:b/>
          <w:color w:val="2E74B5"/>
          <w:sz w:val="36"/>
        </w:rPr>
        <w:t>Overview</w:t>
      </w:r>
    </w:p>
    <w:p>
      <w:pPr>
        <w:spacing w:after="240" w:line="276" w:lineRule="auto"/>
      </w:pPr>
      <w:r>
        <w:rPr>
          <w:rFonts w:ascii="Calibri" w:hAnsi="Calibri"/>
          <w:sz w:val="22"/>
        </w:rPr>
        <w:t>The primary goal of this project was to build a predictive model to estimate individual medical insurance claim amounts (charges) based on personal attributes. Leveraging the Medical Cost Personal Dataset (comprising 1,338 patient records), this analysis provides key insights into healthcare cost drivers and evaluates predictive methodologies to support actuarial risk assessment.</w:t>
      </w:r>
    </w:p>
    <w:p>
      <w:pPr>
        <w:pStyle w:val="Heading1"/>
        <w:spacing w:before="360" w:after="120"/>
      </w:pPr>
      <w:r>
        <w:rPr>
          <w:rFonts w:ascii="Calibri" w:hAnsi="Calibri"/>
          <w:b/>
          <w:color w:val="2E74B5"/>
          <w:sz w:val="32"/>
        </w:rPr>
        <w:t>Methodology - Phase 1: Cleaning, Exploration, and Visualization</w:t>
      </w:r>
    </w:p>
    <w:p>
      <w:pPr>
        <w:pStyle w:val="ListNumber"/>
        <w:spacing w:after="80" w:line="276" w:lineRule="auto"/>
      </w:pPr>
      <w:r>
        <w:rPr>
          <w:rFonts w:ascii="Calibri" w:hAnsi="Calibri"/>
          <w:b/>
          <w:sz w:val="22"/>
        </w:rPr>
        <w:t xml:space="preserve">Data Inspection: </w:t>
      </w:r>
      <w:r>
        <w:rPr>
          <w:rFonts w:ascii="Calibri" w:hAnsi="Calibri"/>
          <w:sz w:val="22"/>
        </w:rPr>
        <w:t>Analyzed the dataset structure, finding 1,338 records with 7 columns. Verified that there were zero missing values, negating the need for statistical imputation. The categorical attributes include Sex, Smoker Status, and Region, while numerical attributes include Age, BMI, Children, and Charges.</w:t>
      </w:r>
    </w:p>
    <w:p>
      <w:pPr>
        <w:pStyle w:val="ListNumber"/>
        <w:spacing w:after="80" w:line="276" w:lineRule="auto"/>
      </w:pPr>
      <w:r>
        <w:rPr>
          <w:rFonts w:ascii="Calibri" w:hAnsi="Calibri"/>
          <w:b/>
          <w:sz w:val="22"/>
        </w:rPr>
        <w:t xml:space="preserve">Target Variable Analysis: </w:t>
      </w:r>
      <w:r>
        <w:rPr>
          <w:rFonts w:ascii="Calibri" w:hAnsi="Calibri"/>
          <w:sz w:val="22"/>
        </w:rPr>
        <w:t>Inspected the target variable (charges) using interactive histograms (Plotly). Identified a strong right-skewed distribution with a median of $9,382.03 and a mean of $13,270.42, with a maximum claim value reaching $63,770.43.</w:t>
      </w:r>
    </w:p>
    <w:p>
      <w:pPr>
        <w:pStyle w:val="ListNumber"/>
        <w:spacing w:after="80" w:line="276" w:lineRule="auto"/>
      </w:pPr>
      <w:r>
        <w:rPr>
          <w:rFonts w:ascii="Calibri" w:hAnsi="Calibri"/>
          <w:b/>
          <w:sz w:val="22"/>
        </w:rPr>
        <w:t xml:space="preserve">Bivariate and Multidimensional Visualization: </w:t>
      </w:r>
      <w:r>
        <w:rPr>
          <w:rFonts w:ascii="Calibri" w:hAnsi="Calibri"/>
          <w:sz w:val="22"/>
        </w:rPr>
        <w:t>Constructed multiple visualization layouts to understand the core drivers of insurance charges:</w:t>
      </w:r>
    </w:p>
    <w:p>
      <w:pPr>
        <w:pStyle w:val="ListBullet"/>
        <w:spacing w:after="60" w:line="276" w:lineRule="auto"/>
      </w:pPr>
      <w:r>
        <w:rPr>
          <w:rFonts w:ascii="Calibri" w:hAnsi="Calibri"/>
          <w:b/>
          <w:sz w:val="22"/>
        </w:rPr>
        <w:t xml:space="preserve">Smoking Impact Box Plot: </w:t>
      </w:r>
      <w:r>
        <w:rPr>
          <w:rFonts w:ascii="Calibri" w:hAnsi="Calibri"/>
          <w:sz w:val="22"/>
        </w:rPr>
        <w:t>Revealed an extreme disparity in charges. Non-smokers have a mean charge of $8,434.27, whereas smokers average $32,050.23—nearly a 4x increase.</w:t>
      </w:r>
    </w:p>
    <w:p>
      <w:pPr>
        <w:pStyle w:val="ListBullet"/>
        <w:spacing w:after="60" w:line="276" w:lineRule="auto"/>
      </w:pPr>
      <w:r>
        <w:rPr>
          <w:rFonts w:ascii="Calibri" w:hAnsi="Calibri"/>
          <w:b/>
          <w:sz w:val="22"/>
        </w:rPr>
        <w:t xml:space="preserve">Age vs. Charges Scatter Plot: </w:t>
      </w:r>
      <w:r>
        <w:rPr>
          <w:rFonts w:ascii="Calibri" w:hAnsi="Calibri"/>
          <w:sz w:val="22"/>
        </w:rPr>
        <w:t>Indicated a clear upward trend of charges with age, stratified into three highly distinct bands (low, medium, high charges) corresponding directly to smoking status.</w:t>
      </w:r>
    </w:p>
    <w:p>
      <w:pPr>
        <w:pStyle w:val="ListBullet"/>
        <w:spacing w:after="60" w:line="276" w:lineRule="auto"/>
      </w:pPr>
      <w:r>
        <w:rPr>
          <w:rFonts w:ascii="Calibri" w:hAnsi="Calibri"/>
          <w:b/>
          <w:sz w:val="22"/>
        </w:rPr>
        <w:t xml:space="preserve">BMI vs. Charges Scatter Plot: </w:t>
      </w:r>
      <w:r>
        <w:rPr>
          <w:rFonts w:ascii="Calibri" w:hAnsi="Calibri"/>
          <w:sz w:val="22"/>
        </w:rPr>
        <w:t>Discovered a non-linear interaction: BMI has a minor effect on charges for non-smokers, but for smokers, high BMI (&gt;= 30) triggers a severe escalation, where charges regularly exceed $35,000.</w:t>
      </w:r>
    </w:p>
    <w:p>
      <w:pPr>
        <w:pStyle w:val="ListBullet"/>
        <w:spacing w:after="60" w:line="276" w:lineRule="auto"/>
      </w:pPr>
      <w:r>
        <w:rPr>
          <w:rFonts w:ascii="Calibri" w:hAnsi="Calibri"/>
          <w:b/>
          <w:sz w:val="22"/>
        </w:rPr>
        <w:t xml:space="preserve">Multidimensional Joint Plot: </w:t>
      </w:r>
      <w:r>
        <w:rPr>
          <w:rFonts w:ascii="Calibri" w:hAnsi="Calibri"/>
          <w:sz w:val="22"/>
        </w:rPr>
        <w:t>Plotted Age vs. BMI, color-coded by Smoker Status and sized by Claim Amount, illustrating the massive compounding risk when age and high BMI intersect with smoking.</w:t>
      </w:r>
    </w:p>
    <w:p>
      <w:pPr>
        <w:pStyle w:val="Heading1"/>
        <w:spacing w:before="360" w:after="120"/>
      </w:pPr>
      <w:r>
        <w:rPr>
          <w:rFonts w:ascii="Calibri" w:hAnsi="Calibri"/>
          <w:b/>
          <w:color w:val="2E74B5"/>
          <w:sz w:val="32"/>
        </w:rPr>
        <w:t>Methodology - Phase 2: Data Preprocessing and Baseline Modeling</w:t>
      </w:r>
    </w:p>
    <w:p>
      <w:pPr>
        <w:pStyle w:val="ListNumber"/>
        <w:spacing w:after="80" w:line="276" w:lineRule="auto"/>
      </w:pPr>
      <w:r>
        <w:rPr>
          <w:rFonts w:ascii="Calibri" w:hAnsi="Calibri"/>
          <w:b/>
          <w:sz w:val="22"/>
        </w:rPr>
        <w:t xml:space="preserve">Categorical Encoding: </w:t>
      </w:r>
      <w:r>
        <w:rPr>
          <w:rFonts w:ascii="Calibri" w:hAnsi="Calibri"/>
          <w:sz w:val="22"/>
        </w:rPr>
        <w:t>Mapped binary features 'sex' and 'smoker' to numeric representations (sex_male and smoker_yes). One-hot encoded 'region' using dummy variables, dropping the first category (northeast) to prevent multi-collinearity (the dummy variable trap).</w:t>
      </w:r>
    </w:p>
    <w:p>
      <w:pPr>
        <w:pStyle w:val="ListNumber"/>
        <w:spacing w:after="80" w:line="276" w:lineRule="auto"/>
      </w:pPr>
      <w:r>
        <w:rPr>
          <w:rFonts w:ascii="Calibri" w:hAnsi="Calibri"/>
          <w:b/>
          <w:sz w:val="22"/>
        </w:rPr>
        <w:t xml:space="preserve">Correlation Heatmap Analysis: </w:t>
      </w:r>
      <w:r>
        <w:rPr>
          <w:rFonts w:ascii="Calibri" w:hAnsi="Calibri"/>
          <w:sz w:val="22"/>
        </w:rPr>
        <w:t>Computed Pearson correlation coefficients. Identified 'smoker_yes' as the single strongest linear correlate with charges (r = 0.79), followed by 'age' (r = 0.30) and 'bmi' (r = 0.20). Demographics and regional indicators showed negligible linear relationship.</w:t>
      </w:r>
    </w:p>
    <w:p>
      <w:pPr>
        <w:pStyle w:val="ListNumber"/>
        <w:spacing w:after="80" w:line="276" w:lineRule="auto"/>
      </w:pPr>
      <w:r>
        <w:rPr>
          <w:rFonts w:ascii="Calibri" w:hAnsi="Calibri"/>
          <w:b/>
          <w:sz w:val="22"/>
        </w:rPr>
        <w:t xml:space="preserve">Train-Test Split: </w:t>
      </w:r>
      <w:r>
        <w:rPr>
          <w:rFonts w:ascii="Calibri" w:hAnsi="Calibri"/>
          <w:sz w:val="22"/>
        </w:rPr>
        <w:t>Divided the dataset into training (80%, 1,070 records) and testing (20%, 268 records) subsets, utilizing a random_state of 42 to ensure exact reproducibility across all modeling iterations.</w:t>
      </w:r>
    </w:p>
    <w:p>
      <w:pPr>
        <w:pStyle w:val="ListNumber"/>
        <w:spacing w:after="80" w:line="276" w:lineRule="auto"/>
      </w:pPr>
      <w:r>
        <w:rPr>
          <w:rFonts w:ascii="Calibri" w:hAnsi="Calibri"/>
          <w:b/>
          <w:sz w:val="22"/>
        </w:rPr>
        <w:t xml:space="preserve">Baseline OLS Regression: </w:t>
      </w:r>
      <w:r>
        <w:rPr>
          <w:rFonts w:ascii="Calibri" w:hAnsi="Calibri"/>
          <w:sz w:val="22"/>
        </w:rPr>
        <w:t>Trained a baseline Ordinary Least Squares (OLS) Linear Regression model using the encoded feature matrix to predict charges. Evaluated standard error distributions and residual behaviors.</w:t>
      </w:r>
    </w:p>
    <w:p>
      <w:pPr>
        <w:pStyle w:val="Heading1"/>
        <w:spacing w:before="360" w:after="120"/>
      </w:pPr>
      <w:r>
        <w:rPr>
          <w:rFonts w:ascii="Calibri" w:hAnsi="Calibri"/>
          <w:b/>
          <w:color w:val="2E74B5"/>
          <w:sz w:val="32"/>
        </w:rPr>
        <w:t>Methodology - Phase 3: Advanced Modeling and Optimization</w:t>
      </w:r>
    </w:p>
    <w:p>
      <w:pPr>
        <w:spacing w:after="160" w:line="276" w:lineRule="auto"/>
      </w:pPr>
      <w:r>
        <w:rPr>
          <w:rFonts w:ascii="Calibri" w:hAnsi="Calibri"/>
          <w:sz w:val="22"/>
        </w:rPr>
        <w:t>While the baseline OLS model performed reasonably well, regression diagnostic checks (residual analysis) exposed two fundamental violations of OLS assumptions: non-linear interaction (BMI having a compounding effect solely on smokers) and heteroscedasticity (the spread of residuals widening as charges increased). To address these limitations, two optimization techniques and a non-linear baseline were implemented:</w:t>
      </w:r>
    </w:p>
    <w:p>
      <w:pPr>
        <w:pStyle w:val="ListNumber"/>
        <w:spacing w:after="80" w:line="276" w:lineRule="auto"/>
      </w:pPr>
      <w:r>
        <w:rPr>
          <w:rFonts w:ascii="Calibri" w:hAnsi="Calibri"/>
          <w:b/>
          <w:sz w:val="22"/>
        </w:rPr>
        <w:t xml:space="preserve">Interaction Feature Engineering: </w:t>
      </w:r>
      <w:r>
        <w:rPr>
          <w:rFonts w:ascii="Calibri" w:hAnsi="Calibri"/>
          <w:sz w:val="22"/>
        </w:rPr>
        <w:t>Created a cross-product interaction term 'bmi_x_smoker'. This term collapses to 0 for non-smokers and captures the amplified BMI slope for smokers, directly resolving the non-linear relationship identified during EDA.</w:t>
      </w:r>
    </w:p>
    <w:p>
      <w:pPr>
        <w:pStyle w:val="ListNumber"/>
        <w:spacing w:after="80" w:line="276" w:lineRule="auto"/>
      </w:pPr>
      <w:r>
        <w:rPr>
          <w:rFonts w:ascii="Calibri" w:hAnsi="Calibri"/>
          <w:b/>
          <w:sz w:val="22"/>
        </w:rPr>
        <w:t xml:space="preserve">Log-Transformation of Target: </w:t>
      </w:r>
      <w:r>
        <w:rPr>
          <w:rFonts w:ascii="Calibri" w:hAnsi="Calibri"/>
          <w:sz w:val="22"/>
        </w:rPr>
        <w:t>Applied a log-transform (np.log1p) on the target variable 'charges'. This compressed the long right tail and stabilized residual variance across the prediction range. Predictions were transformed back to dollar space (np.expm1) before computing evaluation metrics.</w:t>
      </w:r>
    </w:p>
    <w:p>
      <w:pPr>
        <w:pStyle w:val="ListNumber"/>
        <w:spacing w:after="80" w:line="276" w:lineRule="auto"/>
      </w:pPr>
      <w:r>
        <w:rPr>
          <w:rFonts w:ascii="Calibri" w:hAnsi="Calibri"/>
          <w:b/>
          <w:sz w:val="22"/>
        </w:rPr>
        <w:t xml:space="preserve">Non-Linear Regressor (Gradient Boosting): </w:t>
      </w:r>
      <w:r>
        <w:rPr>
          <w:rFonts w:ascii="Calibri" w:hAnsi="Calibri"/>
          <w:sz w:val="22"/>
        </w:rPr>
        <w:t>Trained a Gradient Boosting Regressor as a non-linear benchmark. Gradient Boosting naturally models non-linear relations and interaction effects (like BMI × Smoking) without requiring explicit scaling or manual transformation.</w:t>
      </w:r>
    </w:p>
    <w:p>
      <w:pPr>
        <w:pStyle w:val="Heading1"/>
        <w:spacing w:before="360" w:after="120"/>
      </w:pPr>
      <w:r>
        <w:rPr>
          <w:rFonts w:ascii="Calibri" w:hAnsi="Calibri"/>
          <w:b/>
          <w:color w:val="2E74B5"/>
          <w:sz w:val="36"/>
        </w:rPr>
        <w:t>Model Performance Comparison</w:t>
      </w:r>
    </w:p>
    <w:p>
      <w:pPr>
        <w:spacing w:after="160" w:line="276" w:lineRule="auto"/>
      </w:pPr>
      <w:r>
        <w:rPr>
          <w:rFonts w:ascii="Calibri" w:hAnsi="Calibri"/>
          <w:sz w:val="22"/>
        </w:rPr>
        <w:t>All three models were evaluated and compared on the same held-out test set (20% of the data) using Mean Absolute Error (MAE), Root Mean Squared Error (RMSE), and R-squared (R²) metrics:</w:t>
      </w:r>
    </w:p>
    <w:tbl>
      <w:tblPr>
        <w:tblW w:type="auto" w:w="0"/>
        <w:tblLayout w:type="fixed"/>
        <w:tblLook w:firstColumn="1" w:firstRow="1" w:lastColumn="0" w:lastRow="0" w:noHBand="0" w:noVBand="1" w:val="04A0"/>
      </w:tblPr>
      <w:tblGrid>
        <w:gridCol w:w="2340"/>
        <w:gridCol w:w="2340"/>
        <w:gridCol w:w="2340"/>
        <w:gridCol w:w="2340"/>
      </w:tblGrid>
      <w:tr>
        <w:tc>
          <w:tcPr>
            <w:tcW w:type="dxa" w:w="4608"/>
            <w:shd w:val="clear" w:color="auto" w:fill="2E74B5"/>
            <w:tcMar>
              <w:top w:w="140" w:type="dxa"/>
              <w:bottom w:w="140" w:type="dxa"/>
              <w:left w:w="150" w:type="dxa"/>
              <w:right w:w="150" w:type="dxa"/>
            </w:tcMar>
          </w:tcPr>
          <w:p>
            <w:pPr>
              <w:jc w:val="left"/>
            </w:pPr>
            <w:r>
              <w:rPr>
                <w:rFonts w:ascii="Calibri" w:hAnsi="Calibri"/>
                <w:b/>
                <w:color w:val="FFFFFF"/>
                <w:sz w:val="22"/>
              </w:rPr>
              <w:t>Model</w:t>
            </w:r>
          </w:p>
        </w:tc>
        <w:tc>
          <w:tcPr>
            <w:tcW w:type="dxa" w:w="1584"/>
            <w:shd w:val="clear" w:color="auto" w:fill="2E74B5"/>
            <w:tcMar>
              <w:top w:w="140" w:type="dxa"/>
              <w:bottom w:w="140" w:type="dxa"/>
              <w:left w:w="150" w:type="dxa"/>
              <w:right w:w="150" w:type="dxa"/>
            </w:tcMar>
          </w:tcPr>
          <w:p>
            <w:pPr>
              <w:jc w:val="center"/>
            </w:pPr>
            <w:r>
              <w:rPr>
                <w:rFonts w:ascii="Calibri" w:hAnsi="Calibri"/>
                <w:b/>
                <w:color w:val="FFFFFF"/>
                <w:sz w:val="22"/>
              </w:rPr>
              <w:t>MAE ($)</w:t>
            </w:r>
          </w:p>
        </w:tc>
        <w:tc>
          <w:tcPr>
            <w:tcW w:type="dxa" w:w="1584"/>
            <w:shd w:val="clear" w:color="auto" w:fill="2E74B5"/>
            <w:tcMar>
              <w:top w:w="140" w:type="dxa"/>
              <w:bottom w:w="140" w:type="dxa"/>
              <w:left w:w="150" w:type="dxa"/>
              <w:right w:w="150" w:type="dxa"/>
            </w:tcMar>
          </w:tcPr>
          <w:p>
            <w:pPr>
              <w:jc w:val="center"/>
            </w:pPr>
            <w:r>
              <w:rPr>
                <w:rFonts w:ascii="Calibri" w:hAnsi="Calibri"/>
                <w:b/>
                <w:color w:val="FFFFFF"/>
                <w:sz w:val="22"/>
              </w:rPr>
              <w:t>RMSE ($)</w:t>
            </w:r>
          </w:p>
        </w:tc>
        <w:tc>
          <w:tcPr>
            <w:tcW w:type="dxa" w:w="1584"/>
            <w:shd w:val="clear" w:color="auto" w:fill="2E74B5"/>
            <w:tcMar>
              <w:top w:w="140" w:type="dxa"/>
              <w:bottom w:w="140" w:type="dxa"/>
              <w:left w:w="150" w:type="dxa"/>
              <w:right w:w="150" w:type="dxa"/>
            </w:tcMar>
          </w:tcPr>
          <w:p>
            <w:pPr>
              <w:jc w:val="center"/>
            </w:pPr>
            <w:r>
              <w:rPr>
                <w:rFonts w:ascii="Calibri" w:hAnsi="Calibri"/>
                <w:b/>
                <w:color w:val="FFFFFF"/>
                <w:sz w:val="22"/>
              </w:rPr>
              <w:t>R² Score</w:t>
            </w:r>
          </w:p>
        </w:tc>
      </w:tr>
      <w:tr>
        <w:tc>
          <w:tcPr>
            <w:tcW w:type="dxa" w:w="4608"/>
            <w:tcMar>
              <w:top w:w="100" w:type="dxa"/>
              <w:bottom w:w="100" w:type="dxa"/>
              <w:left w:w="150" w:type="dxa"/>
              <w:right w:w="150" w:type="dxa"/>
            </w:tcMar>
            <w:shd w:val="clear" w:color="auto" w:fill="FFFFFF"/>
          </w:tcPr>
          <w:p>
            <w:pPr>
              <w:jc w:val="left"/>
            </w:pPr>
            <w:r>
              <w:rPr>
                <w:rFonts w:ascii="Calibri" w:hAnsi="Calibri"/>
                <w:b/>
                <w:sz w:val="21"/>
              </w:rPr>
              <w:t>Baseline OLS (no interaction, raw target)</w:t>
            </w:r>
          </w:p>
        </w:tc>
        <w:tc>
          <w:tcPr>
            <w:tcW w:type="dxa" w:w="1584"/>
            <w:tcMar>
              <w:top w:w="100" w:type="dxa"/>
              <w:bottom w:w="100" w:type="dxa"/>
              <w:left w:w="150" w:type="dxa"/>
              <w:right w:w="150" w:type="dxa"/>
            </w:tcMar>
            <w:shd w:val="clear" w:color="auto" w:fill="FFFFFF"/>
          </w:tcPr>
          <w:p>
            <w:pPr>
              <w:jc w:val="center"/>
            </w:pPr>
            <w:r>
              <w:rPr>
                <w:rFonts w:ascii="Calibri" w:hAnsi="Calibri"/>
                <w:sz w:val="21"/>
              </w:rPr>
              <w:t>$4,181.19</w:t>
            </w:r>
          </w:p>
        </w:tc>
        <w:tc>
          <w:tcPr>
            <w:tcW w:type="dxa" w:w="1584"/>
            <w:tcMar>
              <w:top w:w="100" w:type="dxa"/>
              <w:bottom w:w="100" w:type="dxa"/>
              <w:left w:w="150" w:type="dxa"/>
              <w:right w:w="150" w:type="dxa"/>
            </w:tcMar>
            <w:shd w:val="clear" w:color="auto" w:fill="FFFFFF"/>
          </w:tcPr>
          <w:p>
            <w:pPr>
              <w:jc w:val="center"/>
            </w:pPr>
            <w:r>
              <w:rPr>
                <w:rFonts w:ascii="Calibri" w:hAnsi="Calibri"/>
                <w:sz w:val="21"/>
              </w:rPr>
              <w:t>$5,796.28</w:t>
            </w:r>
          </w:p>
        </w:tc>
        <w:tc>
          <w:tcPr>
            <w:tcW w:type="dxa" w:w="1584"/>
            <w:tcMar>
              <w:top w:w="100" w:type="dxa"/>
              <w:bottom w:w="100" w:type="dxa"/>
              <w:left w:w="150" w:type="dxa"/>
              <w:right w:w="150" w:type="dxa"/>
            </w:tcMar>
            <w:shd w:val="clear" w:color="auto" w:fill="FFFFFF"/>
          </w:tcPr>
          <w:p>
            <w:pPr>
              <w:jc w:val="center"/>
            </w:pPr>
            <w:r>
              <w:rPr>
                <w:rFonts w:ascii="Calibri" w:hAnsi="Calibri"/>
                <w:sz w:val="21"/>
              </w:rPr>
              <w:t>0.7836</w:t>
            </w:r>
          </w:p>
        </w:tc>
      </w:tr>
      <w:tr>
        <w:tc>
          <w:tcPr>
            <w:tcW w:type="dxa" w:w="4608"/>
            <w:tcMar>
              <w:top w:w="100" w:type="dxa"/>
              <w:bottom w:w="100" w:type="dxa"/>
              <w:left w:w="150" w:type="dxa"/>
              <w:right w:w="150" w:type="dxa"/>
            </w:tcMar>
            <w:shd w:val="clear" w:color="auto" w:fill="F2F2F2"/>
          </w:tcPr>
          <w:p>
            <w:pPr>
              <w:jc w:val="left"/>
            </w:pPr>
            <w:r>
              <w:rPr>
                <w:rFonts w:ascii="Calibri" w:hAnsi="Calibri"/>
                <w:b/>
                <w:sz w:val="21"/>
              </w:rPr>
              <w:t>Improved OLS (bmi_x_smoker + log target)</w:t>
            </w:r>
          </w:p>
        </w:tc>
        <w:tc>
          <w:tcPr>
            <w:tcW w:type="dxa" w:w="1584"/>
            <w:tcMar>
              <w:top w:w="100" w:type="dxa"/>
              <w:bottom w:w="100" w:type="dxa"/>
              <w:left w:w="150" w:type="dxa"/>
              <w:right w:w="150" w:type="dxa"/>
            </w:tcMar>
            <w:shd w:val="clear" w:color="auto" w:fill="F2F2F2"/>
          </w:tcPr>
          <w:p>
            <w:pPr>
              <w:jc w:val="center"/>
            </w:pPr>
            <w:r>
              <w:rPr>
                <w:rFonts w:ascii="Calibri" w:hAnsi="Calibri"/>
                <w:sz w:val="21"/>
              </w:rPr>
              <w:t>$3,974.49</w:t>
            </w:r>
          </w:p>
        </w:tc>
        <w:tc>
          <w:tcPr>
            <w:tcW w:type="dxa" w:w="1584"/>
            <w:tcMar>
              <w:top w:w="100" w:type="dxa"/>
              <w:bottom w:w="100" w:type="dxa"/>
              <w:left w:w="150" w:type="dxa"/>
              <w:right w:w="150" w:type="dxa"/>
            </w:tcMar>
            <w:shd w:val="clear" w:color="auto" w:fill="F2F2F2"/>
          </w:tcPr>
          <w:p>
            <w:pPr>
              <w:jc w:val="center"/>
            </w:pPr>
            <w:r>
              <w:rPr>
                <w:rFonts w:ascii="Calibri" w:hAnsi="Calibri"/>
                <w:sz w:val="21"/>
              </w:rPr>
              <w:t>$8,559.98</w:t>
            </w:r>
          </w:p>
        </w:tc>
        <w:tc>
          <w:tcPr>
            <w:tcW w:type="dxa" w:w="1584"/>
            <w:tcMar>
              <w:top w:w="100" w:type="dxa"/>
              <w:bottom w:w="100" w:type="dxa"/>
              <w:left w:w="150" w:type="dxa"/>
              <w:right w:w="150" w:type="dxa"/>
            </w:tcMar>
            <w:shd w:val="clear" w:color="auto" w:fill="F2F2F2"/>
          </w:tcPr>
          <w:p>
            <w:pPr>
              <w:jc w:val="center"/>
            </w:pPr>
            <w:r>
              <w:rPr>
                <w:rFonts w:ascii="Calibri" w:hAnsi="Calibri"/>
                <w:sz w:val="21"/>
              </w:rPr>
              <w:t>0.5280</w:t>
            </w:r>
          </w:p>
        </w:tc>
      </w:tr>
      <w:tr>
        <w:tc>
          <w:tcPr>
            <w:tcW w:type="dxa" w:w="4608"/>
            <w:tcMar>
              <w:top w:w="100" w:type="dxa"/>
              <w:bottom w:w="100" w:type="dxa"/>
              <w:left w:w="150" w:type="dxa"/>
              <w:right w:w="150" w:type="dxa"/>
            </w:tcMar>
            <w:shd w:val="clear" w:color="auto" w:fill="FFFFFF"/>
          </w:tcPr>
          <w:p>
            <w:pPr>
              <w:jc w:val="left"/>
            </w:pPr>
            <w:r>
              <w:rPr>
                <w:rFonts w:ascii="Calibri" w:hAnsi="Calibri"/>
                <w:b/>
                <w:sz w:val="21"/>
              </w:rPr>
              <w:t>Gradient Boosting (benchmark)</w:t>
            </w:r>
          </w:p>
        </w:tc>
        <w:tc>
          <w:tcPr>
            <w:tcW w:type="dxa" w:w="1584"/>
            <w:tcMar>
              <w:top w:w="100" w:type="dxa"/>
              <w:bottom w:w="100" w:type="dxa"/>
              <w:left w:w="150" w:type="dxa"/>
              <w:right w:w="150" w:type="dxa"/>
            </w:tcMar>
            <w:shd w:val="clear" w:color="auto" w:fill="FFFFFF"/>
          </w:tcPr>
          <w:p>
            <w:pPr>
              <w:jc w:val="center"/>
            </w:pPr>
            <w:r>
              <w:rPr>
                <w:rFonts w:ascii="Calibri" w:hAnsi="Calibri"/>
                <w:sz w:val="21"/>
              </w:rPr>
              <w:t>$2,590.12</w:t>
            </w:r>
          </w:p>
        </w:tc>
        <w:tc>
          <w:tcPr>
            <w:tcW w:type="dxa" w:w="1584"/>
            <w:tcMar>
              <w:top w:w="100" w:type="dxa"/>
              <w:bottom w:w="100" w:type="dxa"/>
              <w:left w:w="150" w:type="dxa"/>
              <w:right w:w="150" w:type="dxa"/>
            </w:tcMar>
            <w:shd w:val="clear" w:color="auto" w:fill="FFFFFF"/>
          </w:tcPr>
          <w:p>
            <w:pPr>
              <w:jc w:val="center"/>
            </w:pPr>
            <w:r>
              <w:rPr>
                <w:rFonts w:ascii="Calibri" w:hAnsi="Calibri"/>
                <w:sz w:val="21"/>
              </w:rPr>
              <w:t>$4,670.90</w:t>
            </w:r>
          </w:p>
        </w:tc>
        <w:tc>
          <w:tcPr>
            <w:tcW w:type="dxa" w:w="1584"/>
            <w:tcMar>
              <w:top w:w="100" w:type="dxa"/>
              <w:bottom w:w="100" w:type="dxa"/>
              <w:left w:w="150" w:type="dxa"/>
              <w:right w:w="150" w:type="dxa"/>
            </w:tcMar>
            <w:shd w:val="clear" w:color="auto" w:fill="FFFFFF"/>
          </w:tcPr>
          <w:p>
            <w:pPr>
              <w:jc w:val="center"/>
            </w:pPr>
            <w:r>
              <w:rPr>
                <w:rFonts w:ascii="Calibri" w:hAnsi="Calibri"/>
                <w:sz w:val="21"/>
              </w:rPr>
              <w:t>0.8595</w:t>
            </w:r>
          </w:p>
        </w:tc>
      </w:tr>
    </w:tbl>
    <w:p/>
    <w:p>
      <w:pPr>
        <w:spacing w:after="240" w:line="276" w:lineRule="auto"/>
        <w:ind w:left="360"/>
      </w:pPr>
      <w:r>
        <w:rPr>
          <w:rFonts w:ascii="Calibri" w:hAnsi="Calibri"/>
          <w:b/>
          <w:i/>
          <w:sz w:val="20"/>
        </w:rPr>
        <w:t xml:space="preserve">Note on the log-transform trade-off: </w:t>
      </w:r>
      <w:r>
        <w:rPr>
          <w:rFonts w:ascii="Calibri" w:hAnsi="Calibri"/>
          <w:i/>
          <w:sz w:val="20"/>
        </w:rPr>
        <w:t>While applying np.log1p successfully reduced MAE (by compressing the right tail and making average predictions more accurate), the np.expm1 inversion back to dollar space amplified absolute errors for extreme high-value predictions. This inflated the overall RMSE and depressed R² for the Improved Linear Regression model. The non-linear Gradient Boosting model handles these interactions and skewed distributions naturally, delivering the best balance of low error and high variance explanation (R² of 0.8595).</w:t>
      </w:r>
    </w:p>
    <w:p>
      <w:pPr>
        <w:pStyle w:val="Heading1"/>
        <w:spacing w:before="360" w:after="120"/>
      </w:pPr>
      <w:r>
        <w:rPr>
          <w:rFonts w:ascii="Calibri" w:hAnsi="Calibri"/>
          <w:b/>
          <w:color w:val="2E74B5"/>
          <w:sz w:val="36"/>
        </w:rPr>
        <w:t>Key Insights</w:t>
      </w:r>
    </w:p>
    <w:p>
      <w:pPr>
        <w:pStyle w:val="ListBullet"/>
        <w:spacing w:after="80" w:line="276" w:lineRule="auto"/>
      </w:pPr>
      <w:r>
        <w:rPr>
          <w:rFonts w:ascii="Calibri" w:hAnsi="Calibri"/>
          <w:b/>
          <w:sz w:val="22"/>
        </w:rPr>
        <w:t xml:space="preserve">Smoking Status is the Primary Driver: </w:t>
      </w:r>
      <w:r>
        <w:rPr>
          <w:rFonts w:ascii="Calibri" w:hAnsi="Calibri"/>
          <w:sz w:val="22"/>
        </w:rPr>
        <w:t>Holding all other factors constant, being a smoker increases baseline medical charges by an average of $23,651.13, making it the single most dominant indicator of healthcare cost.</w:t>
      </w:r>
    </w:p>
    <w:p>
      <w:pPr>
        <w:pStyle w:val="ListBullet"/>
        <w:spacing w:after="80" w:line="276" w:lineRule="auto"/>
      </w:pPr>
      <w:r>
        <w:rPr>
          <w:rFonts w:ascii="Calibri" w:hAnsi="Calibri"/>
          <w:b/>
          <w:sz w:val="22"/>
        </w:rPr>
        <w:t xml:space="preserve">Physical Health and Demographic Progression: </w:t>
      </w:r>
      <w:r>
        <w:rPr>
          <w:rFonts w:ascii="Calibri" w:hAnsi="Calibri"/>
          <w:sz w:val="22"/>
        </w:rPr>
        <w:t>Every unit increase in Body Mass Index (BMI) adds $337.09 to the annual cost, while each additional year of age increases charges by $256.98. Each additional child adds $425.28 on average.</w:t>
      </w:r>
    </w:p>
    <w:p>
      <w:pPr>
        <w:pStyle w:val="ListBullet"/>
        <w:spacing w:after="80" w:line="276" w:lineRule="auto"/>
      </w:pPr>
      <w:r>
        <w:rPr>
          <w:rFonts w:ascii="Calibri" w:hAnsi="Calibri"/>
          <w:b/>
          <w:sz w:val="22"/>
        </w:rPr>
        <w:t xml:space="preserve">The BMI × Smoking Interaction is Crucial: </w:t>
      </w:r>
      <w:r>
        <w:rPr>
          <w:rFonts w:ascii="Calibri" w:hAnsi="Calibri"/>
          <w:sz w:val="22"/>
        </w:rPr>
        <w:t>The compounding effect of smoking and high BMI is highly significant. Gradient Boosting's feature importances show that the interaction term (bmi_x_smoker) accounts for 74.56% of the predictive weight in the entire model.</w:t>
      </w:r>
    </w:p>
    <w:p>
      <w:pPr>
        <w:pStyle w:val="ListBullet"/>
        <w:spacing w:after="80" w:line="276" w:lineRule="auto"/>
      </w:pPr>
      <w:r>
        <w:rPr>
          <w:rFonts w:ascii="Calibri" w:hAnsi="Calibri"/>
          <w:b/>
          <w:sz w:val="22"/>
        </w:rPr>
        <w:t xml:space="preserve">Gender and Region have Negligible Impacts: </w:t>
      </w:r>
      <w:r>
        <w:rPr>
          <w:rFonts w:ascii="Calibri" w:hAnsi="Calibri"/>
          <w:sz w:val="22"/>
        </w:rPr>
        <w:t>Being male decreases charges by only $18.59 on average compared to being female (holding all else constant). Similarly, geographic regions have small, localized adjustments (southwest decreases by $809.80, southeast by $657.86, and northwest by $370.68 compared to northeast).</w:t>
      </w:r>
    </w:p>
    <w:p>
      <w:pPr>
        <w:pStyle w:val="ListBullet"/>
        <w:spacing w:after="80" w:line="276" w:lineRule="auto"/>
      </w:pPr>
      <w:r>
        <w:rPr>
          <w:rFonts w:ascii="Calibri" w:hAnsi="Calibri"/>
          <w:b/>
          <w:sz w:val="22"/>
        </w:rPr>
        <w:t xml:space="preserve">Non-Linear Models Excel: </w:t>
      </w:r>
      <w:r>
        <w:rPr>
          <w:rFonts w:ascii="Calibri" w:hAnsi="Calibri"/>
          <w:sz w:val="22"/>
        </w:rPr>
        <w:t>The Gradient Boosting Regressor achieved the highest performance (R² = 85.95% and MAE = $2,590.12), proving that non-linear decision trees are far better suited for complex healthcare cost structures than standard linear models.</w:t>
      </w:r>
    </w:p>
    <w:p>
      <w:pPr>
        <w:pStyle w:val="Heading1"/>
        <w:spacing w:before="360" w:after="120"/>
      </w:pPr>
      <w:r>
        <w:rPr>
          <w:rFonts w:ascii="Calibri" w:hAnsi="Calibri"/>
          <w:b/>
          <w:color w:val="2E74B5"/>
          <w:sz w:val="36"/>
        </w:rPr>
        <w:t>Conclusion</w:t>
      </w:r>
    </w:p>
    <w:p>
      <w:pPr>
        <w:spacing w:after="240" w:line="276" w:lineRule="auto"/>
      </w:pPr>
      <w:r>
        <w:rPr>
          <w:rFonts w:ascii="Calibri" w:hAnsi="Calibri"/>
          <w:sz w:val="22"/>
        </w:rPr>
        <w:t>We successfully developed a predictive modeling pipeline for medical insurance claim amounts. The OLS linear baseline established a solid foundation with an R² of 0.7836. By identifying and addressing OLS assumption violations, we proved that healthcare charges are governed by non-linear interactions—specifically between smoking habits and body weight. The final Gradient Boosting Regressor emerged as the optimal model, explaining 85.95% of the variance with a low Mean Absolute Error of $2,590.12. This report provides a robust, data-backed tool for precise premium calculation and effective medical cost estimation.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