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Business Requirements Document</w:t>
      </w:r>
    </w:p>
    <w:p>
      <w:pPr>
        <w:jc w:val="center"/>
      </w:pPr>
      <w:r>
        <w:rPr>
          <w:b/>
        </w:rPr>
        <w:t>Enterprise LLM Usage Governance</w:t>
      </w:r>
    </w:p>
    <w:p>
      <w:pPr>
        <w:pStyle w:val="Heading1"/>
      </w:pPr>
      <w:r>
        <w:t>Document Control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D9EAF7"/>
          </w:tcPr>
          <w:p>
            <w:r>
              <w:t>Field</w:t>
            </w:r>
          </w:p>
        </w:tc>
        <w:tc>
          <w:tcPr>
            <w:tcW w:type="dxa" w:w="4320"/>
            <w:shd w:fill="D9EAF7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Use Case Title</w:t>
            </w:r>
          </w:p>
        </w:tc>
        <w:tc>
          <w:tcPr>
            <w:tcW w:type="dxa" w:w="4320"/>
          </w:tcPr>
          <w:p>
            <w:r>
              <w:t>Establish accountable enterprise LLM endpoint usage</w:t>
            </w:r>
          </w:p>
        </w:tc>
      </w:tr>
      <w:tr>
        <w:tc>
          <w:tcPr>
            <w:tcW w:type="dxa" w:w="4320"/>
          </w:tcPr>
          <w:p>
            <w:r>
              <w:t>Document Owner</w:t>
            </w:r>
          </w:p>
        </w:tc>
        <w:tc>
          <w:tcPr>
            <w:tcW w:type="dxa" w:w="4320"/>
          </w:tcPr>
          <w:p>
            <w:r>
              <w:t>[To be confirmed — IT leadership]</w:t>
            </w:r>
          </w:p>
        </w:tc>
      </w:tr>
      <w:tr>
        <w:tc>
          <w:tcPr>
            <w:tcW w:type="dxa" w:w="4320"/>
          </w:tcPr>
          <w:p>
            <w:r>
              <w:t>Business Sponsor</w:t>
            </w:r>
          </w:p>
        </w:tc>
        <w:tc>
          <w:tcPr>
            <w:tcW w:type="dxa" w:w="4320"/>
          </w:tcPr>
          <w:p>
            <w:r>
              <w:t>CTO</w:t>
            </w:r>
          </w:p>
        </w:tc>
      </w:tr>
      <w:tr>
        <w:tc>
          <w:tcPr>
            <w:tcW w:type="dxa" w:w="4320"/>
          </w:tcPr>
          <w:p>
            <w:r>
              <w:t>Version / Date</w:t>
            </w:r>
          </w:p>
        </w:tc>
        <w:tc>
          <w:tcPr>
            <w:tcW w:type="dxa" w:w="4320"/>
          </w:tcPr>
          <w:p>
            <w:r>
              <w:t>v0.1 / 2026-09-18</w:t>
            </w:r>
          </w:p>
        </w:tc>
      </w:tr>
      <w:tr>
        <w:tc>
          <w:tcPr>
            <w:tcW w:type="dxa" w:w="4320"/>
          </w:tcPr>
          <w:p>
            <w:r>
              <w:t>Status</w:t>
            </w:r>
          </w:p>
        </w:tc>
        <w:tc>
          <w:tcPr>
            <w:tcW w:type="dxa" w:w="4320"/>
          </w:tcPr>
          <w:p>
            <w:r>
              <w:t>Draft</w:t>
            </w:r>
          </w:p>
        </w:tc>
      </w:tr>
      <w:tr>
        <w:tc>
          <w:tcPr>
            <w:tcW w:type="dxa" w:w="4320"/>
          </w:tcPr>
          <w:p>
            <w:r>
              <w:t>Contributors Interviewed</w:t>
            </w:r>
          </w:p>
        </w:tc>
        <w:tc>
          <w:tcPr>
            <w:tcW w:type="dxa" w:w="4320"/>
          </w:tcPr>
          <w:p>
            <w:r>
              <w:t>Business stakeholder / 2026-09-18</w:t>
            </w:r>
          </w:p>
        </w:tc>
      </w:tr>
    </w:tbl>
    <w:p/>
    <w:p>
      <w:pPr>
        <w:pStyle w:val="Heading1"/>
      </w:pPr>
      <w:r>
        <w:t>1. Executive Summary</w:t>
      </w:r>
    </w:p>
    <w:p>
      <w:r>
        <w:t>The enterprise needs accountable use of LLM endpoints across approximately 100 teams. IT provisions access today, but cannot fully attribute aggregated provider usage and cost to a business unit, project, or user. This prevents chargeback and credible AI return-on-investment reporting. Access provisioning also delays projects by approximately one week. The target is for 100% of identified LLM endpoint use to be subject to required governance within 15 days, subject to CTO approval and confirmation of the start date.</w:t>
      </w:r>
    </w:p>
    <w:p>
      <w:pPr>
        <w:pStyle w:val="Heading1"/>
      </w:pPr>
      <w:r>
        <w:t>2. Business Objective</w:t>
      </w:r>
    </w:p>
    <w:p>
      <w:r>
        <w:t>Objective statement: Ensure all identified enterprise LLM endpoint use is accountable to the responsible business unit, project, and user so usage, costs, and business benefits can be governed and reported.</w:t>
      </w:r>
    </w:p>
    <w:p>
      <w:r>
        <w:t>Driver type: Pain point today; envisioned benefit. Why now: IT and leadership lack control, chargeback capability, and credible AI ROI visibility. The business anticipates a future compliance need.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fill="D9EAF7"/>
          </w:tcPr>
          <w:p>
            <w:r>
              <w:t>#</w:t>
            </w:r>
          </w:p>
        </w:tc>
        <w:tc>
          <w:tcPr>
            <w:tcW w:type="dxa" w:w="1440"/>
            <w:shd w:fill="D9EAF7"/>
          </w:tcPr>
          <w:p>
            <w:r>
              <w:t>Objective</w:t>
            </w:r>
          </w:p>
        </w:tc>
        <w:tc>
          <w:tcPr>
            <w:tcW w:type="dxa" w:w="1440"/>
            <w:shd w:fill="D9EAF7"/>
          </w:tcPr>
          <w:p>
            <w:r>
              <w:t>Metric</w:t>
            </w:r>
          </w:p>
        </w:tc>
        <w:tc>
          <w:tcPr>
            <w:tcW w:type="dxa" w:w="1440"/>
            <w:shd w:fill="D9EAF7"/>
          </w:tcPr>
          <w:p>
            <w:r>
              <w:t>Baseline today</w:t>
            </w:r>
          </w:p>
        </w:tc>
        <w:tc>
          <w:tcPr>
            <w:tcW w:type="dxa" w:w="1440"/>
            <w:shd w:fill="D9EAF7"/>
          </w:tcPr>
          <w:p>
            <w:r>
              <w:t>Target</w:t>
            </w:r>
          </w:p>
        </w:tc>
        <w:tc>
          <w:tcPr>
            <w:tcW w:type="dxa" w:w="1440"/>
            <w:shd w:fill="D9EAF7"/>
          </w:tcPr>
          <w:p>
            <w:r>
              <w:t>Target date</w:t>
            </w:r>
          </w:p>
        </w:tc>
      </w:tr>
      <w:tr>
        <w:tc>
          <w:tcPr>
            <w:tcW w:type="dxa" w:w="1440"/>
          </w:tcPr>
          <w:p>
            <w:r>
              <w:t>O1</w:t>
            </w:r>
          </w:p>
        </w:tc>
        <w:tc>
          <w:tcPr>
            <w:tcW w:type="dxa" w:w="1440"/>
          </w:tcPr>
          <w:p>
            <w:r>
              <w:t>Govern identified LLM endpoint use</w:t>
            </w:r>
          </w:p>
        </w:tc>
        <w:tc>
          <w:tcPr>
            <w:tcW w:type="dxa" w:w="1440"/>
          </w:tcPr>
          <w:p>
            <w:r>
              <w:t>Governance coverage</w:t>
            </w:r>
          </w:p>
        </w:tc>
        <w:tc>
          <w:tcPr>
            <w:tcW w:type="dxa" w:w="1440"/>
          </w:tcPr>
          <w:p>
            <w:r>
              <w:t>[To be confirmed]</w:t>
            </w:r>
          </w:p>
        </w:tc>
        <w:tc>
          <w:tcPr>
            <w:tcW w:type="dxa" w:w="1440"/>
          </w:tcPr>
          <w:p>
            <w:r>
              <w:t>100%</w:t>
            </w:r>
          </w:p>
        </w:tc>
        <w:tc>
          <w:tcPr>
            <w:tcW w:type="dxa" w:w="1440"/>
          </w:tcPr>
          <w:p>
            <w:r>
              <w:t>15 days [start date to confirm; CTO]</w:t>
            </w:r>
          </w:p>
        </w:tc>
      </w:tr>
      <w:tr>
        <w:tc>
          <w:tcPr>
            <w:tcW w:type="dxa" w:w="1440"/>
          </w:tcPr>
          <w:p>
            <w:r>
              <w:t>O2</w:t>
            </w:r>
          </w:p>
        </w:tc>
        <w:tc>
          <w:tcPr>
            <w:tcW w:type="dxa" w:w="1440"/>
          </w:tcPr>
          <w:p>
            <w:r>
              <w:t>Enable cost accountability</w:t>
            </w:r>
          </w:p>
        </w:tc>
        <w:tc>
          <w:tcPr>
            <w:tcW w:type="dxa" w:w="1440"/>
          </w:tcPr>
          <w:p>
            <w:r>
              <w:t>Usage and cost attributable to BU/project/user</w:t>
            </w:r>
          </w:p>
        </w:tc>
        <w:tc>
          <w:tcPr>
            <w:tcW w:type="dxa" w:w="1440"/>
          </w:tcPr>
          <w:p>
            <w:r>
              <w:t>Not complete; records aggregated</w:t>
            </w:r>
          </w:p>
        </w:tc>
        <w:tc>
          <w:tcPr>
            <w:tcW w:type="dxa" w:w="1440"/>
          </w:tcPr>
          <w:p>
            <w:r>
              <w:t>100% of governed use attributable</w:t>
            </w:r>
          </w:p>
        </w:tc>
        <w:tc>
          <w:tcPr>
            <w:tcW w:type="dxa" w:w="1440"/>
          </w:tcPr>
          <w:p>
            <w:r>
              <w:t>[To be confirmed — CTO]</w:t>
            </w:r>
          </w:p>
        </w:tc>
      </w:tr>
      <w:tr>
        <w:tc>
          <w:tcPr>
            <w:tcW w:type="dxa" w:w="1440"/>
          </w:tcPr>
          <w:p>
            <w:r>
              <w:t>O3</w:t>
            </w:r>
          </w:p>
        </w:tc>
        <w:tc>
          <w:tcPr>
            <w:tcW w:type="dxa" w:w="1440"/>
          </w:tcPr>
          <w:p>
            <w:r>
              <w:t>Enable ROI reporting</w:t>
            </w:r>
          </w:p>
        </w:tc>
        <w:tc>
          <w:tcPr>
            <w:tcW w:type="dxa" w:w="1440"/>
          </w:tcPr>
          <w:p>
            <w:r>
              <w:t>Utilization measured against stated benefit</w:t>
            </w:r>
          </w:p>
        </w:tc>
        <w:tc>
          <w:tcPr>
            <w:tcW w:type="dxa" w:w="1440"/>
          </w:tcPr>
          <w:p>
            <w:r>
              <w:t>Not available</w:t>
            </w:r>
          </w:p>
        </w:tc>
        <w:tc>
          <w:tcPr>
            <w:tcW w:type="dxa" w:w="1440"/>
          </w:tcPr>
          <w:p>
            <w:r>
              <w:t>[To be confirmed — CTO]</w:t>
            </w:r>
          </w:p>
        </w:tc>
        <w:tc>
          <w:tcPr>
            <w:tcW w:type="dxa" w:w="1440"/>
          </w:tcPr>
          <w:p>
            <w:r>
              <w:t>[To be confirmed — CTO]</w:t>
            </w:r>
          </w:p>
        </w:tc>
      </w:tr>
    </w:tbl>
    <w:p/>
    <w:p>
      <w:r>
        <w:t>Baseline establishment: Reconcile finance records, invoices, procurement records, cloud accounts, and team self-assessments to identify every team, endpoint use, business unit, project, user, and cost record.</w:t>
      </w:r>
    </w:p>
    <w:p>
      <w:pPr>
        <w:pStyle w:val="Heading1"/>
      </w:pPr>
      <w:r>
        <w:t>3. Scope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D9EAF7"/>
          </w:tcPr>
          <w:p>
            <w:r>
              <w:t>In scope</w:t>
            </w:r>
          </w:p>
        </w:tc>
        <w:tc>
          <w:tcPr>
            <w:tcW w:type="dxa" w:w="4320"/>
            <w:shd w:fill="D9EAF7"/>
          </w:tcPr>
          <w:p>
            <w:r>
              <w:t>Out of scope</w:t>
            </w:r>
          </w:p>
        </w:tc>
      </w:tr>
      <w:tr>
        <w:tc>
          <w:tcPr>
            <w:tcW w:type="dxa" w:w="4320"/>
          </w:tcPr>
          <w:p>
            <w:r>
              <w:t>LLM endpoint use across approximately 100 enterprise teams; access requests; provisioning; usage attribution; cost allocation; ROI reporting</w:t>
            </w:r>
          </w:p>
        </w:tc>
        <w:tc>
          <w:tcPr>
            <w:tcW w:type="dxa" w:w="4320"/>
          </w:tcPr>
          <w:p>
            <w:r>
              <w:t>Selection or design of any technology, provider, platform, or architecture</w:t>
            </w:r>
          </w:p>
        </w:tc>
      </w:tr>
    </w:tbl>
    <w:p/>
    <w:p>
      <w:r>
        <w:t>Geography / entity coverage: [To be confirmed — entities and regions; IT leadership]. Volume covered: [To be confirmed — endpoint calls, users, projects, and spend; IT leadership].</w:t>
      </w:r>
    </w:p>
    <w:p>
      <w:pPr>
        <w:pStyle w:val="Heading1"/>
      </w:pPr>
      <w:r>
        <w:t>4. Current Business Process (As-Is)</w:t>
      </w:r>
    </w:p>
    <w:p>
      <w:r>
        <w:t>Process trigger: Project-specific need. End state: Endpoint access is provisioned and a project team uses an API key. [To be confirmed — record of completion; outsourced IT service]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fill="D9EAF7"/>
          </w:tcPr>
          <w:p>
            <w:r>
              <w:t>Step</w:t>
            </w:r>
          </w:p>
        </w:tc>
        <w:tc>
          <w:tcPr>
            <w:tcW w:type="dxa" w:w="1440"/>
            <w:shd w:fill="D9EAF7"/>
          </w:tcPr>
          <w:p>
            <w:r>
              <w:t>Activity</w:t>
            </w:r>
          </w:p>
        </w:tc>
        <w:tc>
          <w:tcPr>
            <w:tcW w:type="dxa" w:w="1440"/>
            <w:shd w:fill="D9EAF7"/>
          </w:tcPr>
          <w:p>
            <w:r>
              <w:t>Trigger / input</w:t>
            </w:r>
          </w:p>
        </w:tc>
        <w:tc>
          <w:tcPr>
            <w:tcW w:type="dxa" w:w="1440"/>
            <w:shd w:fill="D9EAF7"/>
          </w:tcPr>
          <w:p>
            <w:r>
              <w:t>Output</w:t>
            </w:r>
          </w:p>
        </w:tc>
        <w:tc>
          <w:tcPr>
            <w:tcW w:type="dxa" w:w="1440"/>
            <w:shd w:fill="D9EAF7"/>
          </w:tcPr>
          <w:p>
            <w:r>
              <w:t>Decision point?</w:t>
            </w:r>
          </w:p>
        </w:tc>
        <w:tc>
          <w:tcPr>
            <w:tcW w:type="dxa" w:w="1440"/>
            <w:shd w:fill="D9EAF7"/>
          </w:tcPr>
          <w:p>
            <w:r>
              <w:t>Exception / rework</w:t>
            </w:r>
          </w:p>
        </w:tc>
      </w:tr>
      <w:tr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Project team identifies need and submits access request.</w:t>
            </w:r>
          </w:p>
        </w:tc>
        <w:tc>
          <w:tcPr>
            <w:tcW w:type="dxa" w:w="1440"/>
          </w:tcPr>
          <w:p>
            <w:r>
              <w:t>Project need</w:t>
            </w:r>
          </w:p>
        </w:tc>
        <w:tc>
          <w:tcPr>
            <w:tcW w:type="dxa" w:w="1440"/>
          </w:tcPr>
          <w:p>
            <w:r>
              <w:t>Request</w:t>
            </w:r>
          </w:p>
        </w:tc>
        <w:tc>
          <w:tcPr>
            <w:tcW w:type="dxa" w:w="1440"/>
          </w:tcPr>
          <w:p>
            <w:r>
              <w:t>No formal decision recorded</w:t>
            </w:r>
          </w:p>
        </w:tc>
        <w:tc>
          <w:tcPr>
            <w:tcW w:type="dxa" w:w="1440"/>
          </w:tcPr>
          <w:p>
            <w:r>
              <w:t>[To be confirmed]</w:t>
            </w:r>
          </w:p>
        </w:tc>
      </w:tr>
      <w:tr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Outsourced IT service determines who may access.</w:t>
            </w:r>
          </w:p>
        </w:tc>
        <w:tc>
          <w:tcPr>
            <w:tcW w:type="dxa" w:w="1440"/>
          </w:tcPr>
          <w:p>
            <w:r>
              <w:t>Request</w:t>
            </w:r>
          </w:p>
        </w:tc>
        <w:tc>
          <w:tcPr>
            <w:tcW w:type="dxa" w:w="1440"/>
          </w:tcPr>
          <w:p>
            <w:r>
              <w:t>Access decision</w:t>
            </w:r>
          </w:p>
        </w:tc>
        <w:tc>
          <w:tcPr>
            <w:tcW w:type="dxa" w:w="1440"/>
          </w:tcPr>
          <w:p>
            <w:r>
              <w:t>Yes; criteria not formalized</w:t>
            </w:r>
          </w:p>
        </w:tc>
        <w:tc>
          <w:tcPr>
            <w:tcW w:type="dxa" w:w="1440"/>
          </w:tcPr>
          <w:p>
            <w:r>
              <w:t>[To be confirmed]</w:t>
            </w:r>
          </w:p>
        </w:tc>
      </w:tr>
      <w:tr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Outsourced IT service provisions access and shares an API key.</w:t>
            </w:r>
          </w:p>
        </w:tc>
        <w:tc>
          <w:tcPr>
            <w:tcW w:type="dxa" w:w="1440"/>
          </w:tcPr>
          <w:p>
            <w:r>
              <w:t>Access decision</w:t>
            </w:r>
          </w:p>
        </w:tc>
        <w:tc>
          <w:tcPr>
            <w:tcW w:type="dxa" w:w="1440"/>
          </w:tcPr>
          <w:p>
            <w:r>
              <w:t>API key / access</w:t>
            </w:r>
          </w:p>
        </w:tc>
        <w:tc>
          <w:tcPr>
            <w:tcW w:type="dxa" w:w="1440"/>
          </w:tcPr>
          <w:p>
            <w:r>
              <w:t>No formal budget, data-use, or vendor decision recorded</w:t>
            </w:r>
          </w:p>
        </w:tc>
        <w:tc>
          <w:tcPr>
            <w:tcW w:type="dxa" w:w="1440"/>
          </w:tcPr>
          <w:p>
            <w:r>
              <w:t>Delays projects</w:t>
            </w:r>
          </w:p>
        </w:tc>
      </w:tr>
      <w:tr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Project team uses the endpoint.</w:t>
            </w:r>
          </w:p>
        </w:tc>
        <w:tc>
          <w:tcPr>
            <w:tcW w:type="dxa" w:w="1440"/>
          </w:tcPr>
          <w:p>
            <w:r>
              <w:t>API key</w:t>
            </w:r>
          </w:p>
        </w:tc>
        <w:tc>
          <w:tcPr>
            <w:tcW w:type="dxa" w:w="1440"/>
          </w:tcPr>
          <w:p>
            <w:r>
              <w:t>Usage</w:t>
            </w:r>
          </w:p>
        </w:tc>
        <w:tc>
          <w:tcPr>
            <w:tcW w:type="dxa" w:w="1440"/>
          </w:tcPr>
          <w:p>
            <w:r>
              <w:t>No ongoing usage control reported</w:t>
            </w:r>
          </w:p>
        </w:tc>
        <w:tc>
          <w:tcPr>
            <w:tcW w:type="dxa" w:w="1440"/>
          </w:tcPr>
          <w:p>
            <w:r>
              <w:t>[To be confirmed]</w:t>
            </w:r>
          </w:p>
        </w:tc>
      </w:tr>
      <w:tr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IT reviews and reconciles cloud-provider usage and cost records.</w:t>
            </w:r>
          </w:p>
        </w:tc>
        <w:tc>
          <w:tcPr>
            <w:tcW w:type="dxa" w:w="1440"/>
          </w:tcPr>
          <w:p>
            <w:r>
              <w:t>Aggregated provider records</w:t>
            </w:r>
          </w:p>
        </w:tc>
        <w:tc>
          <w:tcPr>
            <w:tcW w:type="dxa" w:w="1440"/>
          </w:tcPr>
          <w:p>
            <w:r>
              <w:t>Aggregated cost/usage view</w:t>
            </w:r>
          </w:p>
        </w:tc>
        <w:tc>
          <w:tcPr>
            <w:tcW w:type="dxa" w:w="1440"/>
          </w:tcPr>
          <w:p>
            <w:r>
              <w:t>No complete BU, project, or user attribution</w:t>
            </w:r>
          </w:p>
        </w:tc>
        <w:tc>
          <w:tcPr>
            <w:tcW w:type="dxa" w:w="1440"/>
          </w:tcPr>
          <w:p>
            <w:r>
              <w:t>Cannot fully charge back or report ROI</w:t>
            </w:r>
          </w:p>
        </w:tc>
      </w:tr>
    </w:tbl>
    <w:p/>
    <w:p>
      <w:pPr>
        <w:pStyle w:val="Heading1"/>
      </w:pPr>
      <w:r>
        <w:t>5. Users and Actors (Business Roles)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D9EAF7"/>
          </w:tcPr>
          <w:p>
            <w:r>
              <w:t>Actor / business role</w:t>
            </w:r>
          </w:p>
        </w:tc>
        <w:tc>
          <w:tcPr>
            <w:tcW w:type="dxa" w:w="1728"/>
            <w:shd w:fill="D9EAF7"/>
          </w:tcPr>
          <w:p>
            <w:r>
              <w:t>Steps</w:t>
            </w:r>
          </w:p>
        </w:tc>
        <w:tc>
          <w:tcPr>
            <w:tcW w:type="dxa" w:w="1728"/>
            <w:shd w:fill="D9EAF7"/>
          </w:tcPr>
          <w:p>
            <w:r>
              <w:t>Responsibility</w:t>
            </w:r>
          </w:p>
        </w:tc>
        <w:tc>
          <w:tcPr>
            <w:tcW w:type="dxa" w:w="1728"/>
            <w:shd w:fill="D9EAF7"/>
          </w:tcPr>
          <w:p>
            <w:r>
              <w:t>Headcount</w:t>
            </w:r>
          </w:p>
        </w:tc>
        <w:tc>
          <w:tcPr>
            <w:tcW w:type="dxa" w:w="1728"/>
            <w:shd w:fill="D9EAF7"/>
          </w:tcPr>
          <w:p>
            <w:r>
              <w:t>Notes</w:t>
            </w:r>
          </w:p>
        </w:tc>
      </w:tr>
      <w:tr>
        <w:tc>
          <w:tcPr>
            <w:tcW w:type="dxa" w:w="1728"/>
          </w:tcPr>
          <w:p>
            <w:r>
              <w:t>Project team</w:t>
            </w:r>
          </w:p>
        </w:tc>
        <w:tc>
          <w:tcPr>
            <w:tcW w:type="dxa" w:w="1728"/>
          </w:tcPr>
          <w:p>
            <w:r>
              <w:t>1, 4</w:t>
            </w:r>
          </w:p>
        </w:tc>
        <w:tc>
          <w:tcPr>
            <w:tcW w:type="dxa" w:w="1728"/>
          </w:tcPr>
          <w:p>
            <w:r>
              <w:t>R</w:t>
            </w:r>
          </w:p>
        </w:tc>
        <w:tc>
          <w:tcPr>
            <w:tcW w:type="dxa" w:w="1728"/>
          </w:tcPr>
          <w:p>
            <w:r>
              <w:t>~100 teams</w:t>
            </w:r>
          </w:p>
        </w:tc>
        <w:tc>
          <w:tcPr>
            <w:tcW w:type="dxa" w:w="1728"/>
          </w:tcPr>
          <w:p>
            <w:r>
              <w:t>Requests and uses access</w:t>
            </w:r>
          </w:p>
        </w:tc>
      </w:tr>
      <w:tr>
        <w:tc>
          <w:tcPr>
            <w:tcW w:type="dxa" w:w="1728"/>
          </w:tcPr>
          <w:p>
            <w:r>
              <w:t>Individual business unit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A</w:t>
            </w:r>
          </w:p>
        </w:tc>
        <w:tc>
          <w:tcPr>
            <w:tcW w:type="dxa" w:w="1728"/>
          </w:tcPr>
          <w:p>
            <w:r>
              <w:t>[To be confirmed]</w:t>
            </w:r>
          </w:p>
        </w:tc>
        <w:tc>
          <w:tcPr>
            <w:tcW w:type="dxa" w:w="1728"/>
          </w:tcPr>
          <w:p>
            <w:r>
              <w:t>Should approve access, budget ownership, and accountable use</w:t>
            </w:r>
          </w:p>
        </w:tc>
      </w:tr>
      <w:tr>
        <w:tc>
          <w:tcPr>
            <w:tcW w:type="dxa" w:w="1728"/>
          </w:tcPr>
          <w:p>
            <w:r>
              <w:t>Outsourced IT service</w:t>
            </w:r>
          </w:p>
        </w:tc>
        <w:tc>
          <w:tcPr>
            <w:tcW w:type="dxa" w:w="1728"/>
          </w:tcPr>
          <w:p>
            <w:r>
              <w:t>2, 3, 5</w:t>
            </w:r>
          </w:p>
        </w:tc>
        <w:tc>
          <w:tcPr>
            <w:tcW w:type="dxa" w:w="1728"/>
          </w:tcPr>
          <w:p>
            <w:r>
              <w:t>R</w:t>
            </w:r>
          </w:p>
        </w:tc>
        <w:tc>
          <w:tcPr>
            <w:tcW w:type="dxa" w:w="1728"/>
          </w:tcPr>
          <w:p>
            <w:r>
              <w:t>[To be confirmed]</w:t>
            </w:r>
          </w:p>
        </w:tc>
        <w:tc>
          <w:tcPr>
            <w:tcW w:type="dxa" w:w="1728"/>
          </w:tcPr>
          <w:p>
            <w:r>
              <w:t>Staffing and single-point-of-failure risk unknown</w:t>
            </w:r>
          </w:p>
        </w:tc>
      </w:tr>
      <w:tr>
        <w:tc>
          <w:tcPr>
            <w:tcW w:type="dxa" w:w="1728"/>
          </w:tcPr>
          <w:p>
            <w:r>
              <w:t>IT leadership</w:t>
            </w:r>
          </w:p>
        </w:tc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I</w:t>
            </w:r>
          </w:p>
        </w:tc>
        <w:tc>
          <w:tcPr>
            <w:tcW w:type="dxa" w:w="1728"/>
          </w:tcPr>
          <w:p>
            <w:r>
              <w:t>[To be confirmed]</w:t>
            </w:r>
          </w:p>
        </w:tc>
        <w:tc>
          <w:tcPr>
            <w:tcW w:type="dxa" w:w="1728"/>
          </w:tcPr>
          <w:p>
            <w:r>
              <w:t>Needs usage and cost information</w:t>
            </w:r>
          </w:p>
        </w:tc>
      </w:tr>
      <w:tr>
        <w:tc>
          <w:tcPr>
            <w:tcW w:type="dxa" w:w="1728"/>
          </w:tcPr>
          <w:p>
            <w:r>
              <w:t>Enterprise leadership</w:t>
            </w:r>
          </w:p>
        </w:tc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I</w:t>
            </w:r>
          </w:p>
        </w:tc>
        <w:tc>
          <w:tcPr>
            <w:tcW w:type="dxa" w:w="1728"/>
          </w:tcPr>
          <w:p>
            <w:r>
              <w:t>[To be confirmed]</w:t>
            </w:r>
          </w:p>
        </w:tc>
        <w:tc>
          <w:tcPr>
            <w:tcW w:type="dxa" w:w="1728"/>
          </w:tcPr>
          <w:p>
            <w:r>
              <w:t>Needs ROI information</w:t>
            </w:r>
          </w:p>
        </w:tc>
      </w:tr>
      <w:tr>
        <w:tc>
          <w:tcPr>
            <w:tcW w:type="dxa" w:w="1728"/>
          </w:tcPr>
          <w:p>
            <w:r>
              <w:t>CTO</w:t>
            </w:r>
          </w:p>
        </w:tc>
        <w:tc>
          <w:tcPr>
            <w:tcW w:type="dxa" w:w="1728"/>
          </w:tcPr>
          <w:p>
            <w:r>
              <w:t>Objectives</w:t>
            </w:r>
          </w:p>
        </w:tc>
        <w:tc>
          <w:tcPr>
            <w:tcW w:type="dxa" w:w="1728"/>
          </w:tcPr>
          <w:p>
            <w:r>
              <w:t>A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Approves target</w:t>
            </w:r>
          </w:p>
        </w:tc>
      </w:tr>
    </w:tbl>
    <w:p/>
    <w:p>
      <w:pPr>
        <w:pStyle w:val="Heading1"/>
      </w:pPr>
      <w:r>
        <w:t>6. Systems, Applications, and Datasets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D9EAF7"/>
          </w:tcPr>
          <w:p>
            <w:r>
              <w:t>Step</w:t>
            </w:r>
          </w:p>
        </w:tc>
        <w:tc>
          <w:tcPr>
            <w:tcW w:type="dxa" w:w="2160"/>
            <w:shd w:fill="D9EAF7"/>
          </w:tcPr>
          <w:p>
            <w:r>
              <w:t>Actor</w:t>
            </w:r>
          </w:p>
        </w:tc>
        <w:tc>
          <w:tcPr>
            <w:tcW w:type="dxa" w:w="2160"/>
            <w:shd w:fill="D9EAF7"/>
          </w:tcPr>
          <w:p>
            <w:r>
              <w:t>Current system / artefact</w:t>
            </w:r>
          </w:p>
        </w:tc>
        <w:tc>
          <w:tcPr>
            <w:tcW w:type="dxa" w:w="2160"/>
            <w:shd w:fill="D9EAF7"/>
          </w:tcPr>
          <w:p>
            <w:r>
              <w:t>Data issue</w:t>
            </w:r>
          </w:p>
        </w:tc>
      </w:tr>
      <w:tr>
        <w:tc>
          <w:tcPr>
            <w:tcW w:type="dxa" w:w="2160"/>
          </w:tcPr>
          <w:p>
            <w:r>
              <w:t>1–2</w:t>
            </w:r>
          </w:p>
        </w:tc>
        <w:tc>
          <w:tcPr>
            <w:tcW w:type="dxa" w:w="2160"/>
          </w:tcPr>
          <w:p>
            <w:r>
              <w:t>Project team / outsourced IT</w:t>
            </w:r>
          </w:p>
        </w:tc>
        <w:tc>
          <w:tcPr>
            <w:tcW w:type="dxa" w:w="2160"/>
          </w:tcPr>
          <w:p>
            <w:r>
              <w:t>Internal system</w:t>
            </w:r>
          </w:p>
        </w:tc>
        <w:tc>
          <w:tcPr>
            <w:tcW w:type="dxa" w:w="2160"/>
          </w:tcPr>
          <w:p>
            <w:r>
              <w:t>Request and access-decision details</w:t>
            </w:r>
          </w:p>
        </w:tc>
      </w:tr>
      <w:tr>
        <w:tc>
          <w:tcPr>
            <w:tcW w:type="dxa" w:w="2160"/>
          </w:tcPr>
          <w:p>
            <w:r>
              <w:t>3–5</w:t>
            </w:r>
          </w:p>
        </w:tc>
        <w:tc>
          <w:tcPr>
            <w:tcW w:type="dxa" w:w="2160"/>
          </w:tcPr>
          <w:p>
            <w:r>
              <w:t>Outsourced IT / IT</w:t>
            </w:r>
          </w:p>
        </w:tc>
        <w:tc>
          <w:tcPr>
            <w:tcW w:type="dxa" w:w="2160"/>
          </w:tcPr>
          <w:p>
            <w:r>
              <w:t>Cloud providers</w:t>
            </w:r>
          </w:p>
        </w:tc>
        <w:tc>
          <w:tcPr>
            <w:tcW w:type="dxa" w:w="2160"/>
          </w:tcPr>
          <w:p>
            <w:r>
              <w:t>API keys, usage, and cost records are aggregated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IT</w:t>
            </w:r>
          </w:p>
        </w:tc>
        <w:tc>
          <w:tcPr>
            <w:tcW w:type="dxa" w:w="2160"/>
          </w:tcPr>
          <w:p>
            <w:r>
              <w:t>Cloud-provider records</w:t>
            </w:r>
          </w:p>
        </w:tc>
        <w:tc>
          <w:tcPr>
            <w:tcW w:type="dxa" w:w="2160"/>
          </w:tcPr>
          <w:p>
            <w:r>
              <w:t>Incomplete BU, project, and user attribution</w:t>
            </w:r>
          </w:p>
        </w:tc>
      </w:tr>
    </w:tbl>
    <w:p/>
    <w:p>
      <w:r>
        <w:t>Data classification: [To be confirmed — data governance owner: classification of endpoint inputs and outputs, including personal, financial, confidential, and regulated data].</w:t>
      </w:r>
    </w:p>
    <w:p>
      <w:pPr>
        <w:pStyle w:val="Heading1"/>
      </w:pPr>
      <w:r>
        <w:t>7. Key Pain 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D9EAF7"/>
          </w:tcPr>
          <w:p>
            <w:r>
              <w:t>Step</w:t>
            </w:r>
          </w:p>
        </w:tc>
        <w:tc>
          <w:tcPr>
            <w:tcW w:type="dxa" w:w="1728"/>
            <w:shd w:fill="D9EAF7"/>
          </w:tcPr>
          <w:p>
            <w:r>
              <w:t>Elapsed time</w:t>
            </w:r>
          </w:p>
        </w:tc>
        <w:tc>
          <w:tcPr>
            <w:tcW w:type="dxa" w:w="1728"/>
            <w:shd w:fill="D9EAF7"/>
          </w:tcPr>
          <w:p>
            <w:r>
              <w:t>Touch time</w:t>
            </w:r>
          </w:p>
        </w:tc>
        <w:tc>
          <w:tcPr>
            <w:tcW w:type="dxa" w:w="1728"/>
            <w:shd w:fill="D9EAF7"/>
          </w:tcPr>
          <w:p>
            <w:r>
              <w:t>Wait time</w:t>
            </w:r>
          </w:p>
        </w:tc>
        <w:tc>
          <w:tcPr>
            <w:tcW w:type="dxa" w:w="1728"/>
            <w:shd w:fill="D9EAF7"/>
          </w:tcPr>
          <w:p>
            <w:r>
              <w:t>Constraint</w:t>
            </w:r>
          </w:p>
        </w:tc>
      </w:tr>
      <w:tr>
        <w:tc>
          <w:tcPr>
            <w:tcW w:type="dxa" w:w="1728"/>
          </w:tcPr>
          <w:p>
            <w:r>
              <w:t>1–3: request through key sharing</w:t>
            </w:r>
          </w:p>
        </w:tc>
        <w:tc>
          <w:tcPr>
            <w:tcW w:type="dxa" w:w="1728"/>
          </w:tcPr>
          <w:p>
            <w:r>
              <w:t>~1 week [Assumption — validate by outsourced IT service]</w:t>
            </w:r>
          </w:p>
        </w:tc>
        <w:tc>
          <w:tcPr>
            <w:tcW w:type="dxa" w:w="1728"/>
          </w:tcPr>
          <w:p>
            <w:r>
              <w:t>[To be confirmed]</w:t>
            </w:r>
          </w:p>
        </w:tc>
        <w:tc>
          <w:tcPr>
            <w:tcW w:type="dxa" w:w="1728"/>
          </w:tcPr>
          <w:p>
            <w:r>
              <w:t>[To be confirmed]</w:t>
            </w:r>
          </w:p>
        </w:tc>
        <w:tc>
          <w:tcPr>
            <w:tcW w:type="dxa" w:w="1728"/>
          </w:tcPr>
          <w:p>
            <w:r>
              <w:t>Project delay</w:t>
            </w:r>
          </w:p>
        </w:tc>
      </w:tr>
      <w:tr>
        <w:tc>
          <w:tcPr>
            <w:tcW w:type="dxa" w:w="1728"/>
          </w:tcPr>
          <w:p>
            <w:r>
              <w:t>4: endpoint use</w:t>
            </w:r>
          </w:p>
        </w:tc>
        <w:tc>
          <w:tcPr>
            <w:tcW w:type="dxa" w:w="1728"/>
          </w:tcPr>
          <w:p>
            <w:r>
              <w:t>[To be confirmed]</w:t>
            </w:r>
          </w:p>
        </w:tc>
        <w:tc>
          <w:tcPr>
            <w:tcW w:type="dxa" w:w="1728"/>
          </w:tcPr>
          <w:p>
            <w:r>
              <w:t>[To be confirmed]</w:t>
            </w:r>
          </w:p>
        </w:tc>
        <w:tc>
          <w:tcPr>
            <w:tcW w:type="dxa" w:w="1728"/>
          </w:tcPr>
          <w:p>
            <w:r>
              <w:t>N/A</w:t>
            </w:r>
          </w:p>
        </w:tc>
        <w:tc>
          <w:tcPr>
            <w:tcW w:type="dxa" w:w="1728"/>
          </w:tcPr>
          <w:p>
            <w:r>
              <w:t>User-level utilization unavailable</w:t>
            </w:r>
          </w:p>
        </w:tc>
      </w:tr>
      <w:tr>
        <w:tc>
          <w:tcPr>
            <w:tcW w:type="dxa" w:w="1728"/>
          </w:tcPr>
          <w:p>
            <w:r>
              <w:t>5: usage/cost review</w:t>
            </w:r>
          </w:p>
        </w:tc>
        <w:tc>
          <w:tcPr>
            <w:tcW w:type="dxa" w:w="1728"/>
          </w:tcPr>
          <w:p>
            <w:r>
              <w:t>[To be confirmed]</w:t>
            </w:r>
          </w:p>
        </w:tc>
        <w:tc>
          <w:tcPr>
            <w:tcW w:type="dxa" w:w="1728"/>
          </w:tcPr>
          <w:p>
            <w:r>
              <w:t>[To be confirmed]</w:t>
            </w:r>
          </w:p>
        </w:tc>
        <w:tc>
          <w:tcPr>
            <w:tcW w:type="dxa" w:w="1728"/>
          </w:tcPr>
          <w:p>
            <w:r>
              <w:t>[To be confirmed]</w:t>
            </w:r>
          </w:p>
        </w:tc>
        <w:tc>
          <w:tcPr>
            <w:tcW w:type="dxa" w:w="1728"/>
          </w:tcPr>
          <w:p>
            <w:r>
              <w:t>Aggregation prevents complete chargeback and ROI analysis</w:t>
            </w:r>
          </w:p>
        </w:tc>
      </w:tr>
    </w:tbl>
    <w:p/>
    <w:p>
      <w:r>
        <w:t>Gap analysis: Governance coverage today = [To be confirmed]; required = 100%; gap = 100% − measured baseline.</w:t>
      </w:r>
    </w:p>
    <w:p>
      <w:r>
        <w:t>Top three constraints: (1) business-unit chargeback is incomplete; (2) user-based utilization is unavailable; (3) ROI cannot be consistently evaluated as utilization against revenue, time saved, and quality benefit.</w:t>
      </w:r>
    </w:p>
    <w:p>
      <w:pPr>
        <w:pStyle w:val="Heading1"/>
      </w:pPr>
      <w:r>
        <w:t>8. Business Requirements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D9EAF7"/>
          </w:tcPr>
          <w:p>
            <w:r>
              <w:t>ID</w:t>
            </w:r>
          </w:p>
        </w:tc>
        <w:tc>
          <w:tcPr>
            <w:tcW w:type="dxa" w:w="1728"/>
            <w:shd w:fill="D9EAF7"/>
          </w:tcPr>
          <w:p>
            <w:r>
              <w:t>Requirement</w:t>
            </w:r>
          </w:p>
        </w:tc>
        <w:tc>
          <w:tcPr>
            <w:tcW w:type="dxa" w:w="1728"/>
            <w:shd w:fill="D9EAF7"/>
          </w:tcPr>
          <w:p>
            <w:r>
              <w:t>Type</w:t>
            </w:r>
          </w:p>
        </w:tc>
        <w:tc>
          <w:tcPr>
            <w:tcW w:type="dxa" w:w="1728"/>
            <w:shd w:fill="D9EAF7"/>
          </w:tcPr>
          <w:p>
            <w:r>
              <w:t>Priority</w:t>
            </w:r>
          </w:p>
        </w:tc>
        <w:tc>
          <w:tcPr>
            <w:tcW w:type="dxa" w:w="1728"/>
            <w:shd w:fill="D9EAF7"/>
          </w:tcPr>
          <w:p>
            <w:r>
              <w:t>Acceptance criteria</w:t>
            </w:r>
          </w:p>
        </w:tc>
      </w:tr>
      <w:tr>
        <w:tc>
          <w:tcPr>
            <w:tcW w:type="dxa" w:w="1728"/>
          </w:tcPr>
          <w:p>
            <w:r>
              <w:t>BR-01</w:t>
            </w:r>
          </w:p>
        </w:tc>
        <w:tc>
          <w:tcPr>
            <w:tcW w:type="dxa" w:w="1728"/>
          </w:tcPr>
          <w:p>
            <w:r>
              <w:t>Identify all LLM endpoint use across enterprise teams.</w:t>
            </w:r>
          </w:p>
        </w:tc>
        <w:tc>
          <w:tcPr>
            <w:tcW w:type="dxa" w:w="1728"/>
          </w:tcPr>
          <w:p>
            <w:r>
              <w:t>Process / Reporting</w:t>
            </w:r>
          </w:p>
        </w:tc>
        <w:tc>
          <w:tcPr>
            <w:tcW w:type="dxa" w:w="1728"/>
          </w:tcPr>
          <w:p>
            <w:r>
              <w:t>Must</w:t>
            </w:r>
          </w:p>
        </w:tc>
        <w:tc>
          <w:tcPr>
            <w:tcW w:type="dxa" w:w="1728"/>
          </w:tcPr>
          <w:p>
            <w:r>
              <w:t>Coverage is measured against the agreed enterprise inventory.</w:t>
            </w:r>
          </w:p>
        </w:tc>
      </w:tr>
      <w:tr>
        <w:tc>
          <w:tcPr>
            <w:tcW w:type="dxa" w:w="1728"/>
          </w:tcPr>
          <w:p>
            <w:r>
              <w:t>BR-02</w:t>
            </w:r>
          </w:p>
        </w:tc>
        <w:tc>
          <w:tcPr>
            <w:tcW w:type="dxa" w:w="1728"/>
          </w:tcPr>
          <w:p>
            <w:r>
              <w:t>Record accountable BU, project, and user information for each governed use.</w:t>
            </w:r>
          </w:p>
        </w:tc>
        <w:tc>
          <w:tcPr>
            <w:tcW w:type="dxa" w:w="1728"/>
          </w:tcPr>
          <w:p>
            <w:r>
              <w:t>Data</w:t>
            </w:r>
          </w:p>
        </w:tc>
        <w:tc>
          <w:tcPr>
            <w:tcW w:type="dxa" w:w="1728"/>
          </w:tcPr>
          <w:p>
            <w:r>
              <w:t>Must</w:t>
            </w:r>
          </w:p>
        </w:tc>
        <w:tc>
          <w:tcPr>
            <w:tcW w:type="dxa" w:w="1728"/>
          </w:tcPr>
          <w:p>
            <w:r>
              <w:t>100% of identified governed use has required attribution.</w:t>
            </w:r>
          </w:p>
        </w:tc>
      </w:tr>
      <w:tr>
        <w:tc>
          <w:tcPr>
            <w:tcW w:type="dxa" w:w="1728"/>
          </w:tcPr>
          <w:p>
            <w:r>
              <w:t>BR-03</w:t>
            </w:r>
          </w:p>
        </w:tc>
        <w:tc>
          <w:tcPr>
            <w:tcW w:type="dxa" w:w="1728"/>
          </w:tcPr>
          <w:p>
            <w:r>
              <w:t>Each BU approves access, budget ownership, and accountable use.</w:t>
            </w:r>
          </w:p>
        </w:tc>
        <w:tc>
          <w:tcPr>
            <w:tcW w:type="dxa" w:w="1728"/>
          </w:tcPr>
          <w:p>
            <w:r>
              <w:t>Process</w:t>
            </w:r>
          </w:p>
        </w:tc>
        <w:tc>
          <w:tcPr>
            <w:tcW w:type="dxa" w:w="1728"/>
          </w:tcPr>
          <w:p>
            <w:r>
              <w:t>Must</w:t>
            </w:r>
          </w:p>
        </w:tc>
        <w:tc>
          <w:tcPr>
            <w:tcW w:type="dxa" w:w="1728"/>
          </w:tcPr>
          <w:p>
            <w:r>
              <w:t>Approval owner and decision are recorded before access use.</w:t>
            </w:r>
          </w:p>
        </w:tc>
      </w:tr>
      <w:tr>
        <w:tc>
          <w:tcPr>
            <w:tcW w:type="dxa" w:w="1728"/>
          </w:tcPr>
          <w:p>
            <w:r>
              <w:t>BR-04</w:t>
            </w:r>
          </w:p>
        </w:tc>
        <w:tc>
          <w:tcPr>
            <w:tcW w:type="dxa" w:w="1728"/>
          </w:tcPr>
          <w:p>
            <w:r>
              <w:t>Provide IT and leadership with usage and cost information attributable to BUs and projects.</w:t>
            </w:r>
          </w:p>
        </w:tc>
        <w:tc>
          <w:tcPr>
            <w:tcW w:type="dxa" w:w="1728"/>
          </w:tcPr>
          <w:p>
            <w:r>
              <w:t>Reporting</w:t>
            </w:r>
          </w:p>
        </w:tc>
        <w:tc>
          <w:tcPr>
            <w:tcW w:type="dxa" w:w="1728"/>
          </w:tcPr>
          <w:p>
            <w:r>
              <w:t>Must</w:t>
            </w:r>
          </w:p>
        </w:tc>
        <w:tc>
          <w:tcPr>
            <w:tcW w:type="dxa" w:w="1728"/>
          </w:tcPr>
          <w:p>
            <w:r>
              <w:t>Reports support complete chargeback for governed use.</w:t>
            </w:r>
          </w:p>
        </w:tc>
      </w:tr>
      <w:tr>
        <w:tc>
          <w:tcPr>
            <w:tcW w:type="dxa" w:w="1728"/>
          </w:tcPr>
          <w:p>
            <w:r>
              <w:t>BR-05</w:t>
            </w:r>
          </w:p>
        </w:tc>
        <w:tc>
          <w:tcPr>
            <w:tcW w:type="dxa" w:w="1728"/>
          </w:tcPr>
          <w:p>
            <w:r>
              <w:t>Each BU records intended business benefits using revenue, time saved, and quality measures.</w:t>
            </w:r>
          </w:p>
        </w:tc>
        <w:tc>
          <w:tcPr>
            <w:tcW w:type="dxa" w:w="1728"/>
          </w:tcPr>
          <w:p>
            <w:r>
              <w:t>Data / Reporting</w:t>
            </w:r>
          </w:p>
        </w:tc>
        <w:tc>
          <w:tcPr>
            <w:tcW w:type="dxa" w:w="1728"/>
          </w:tcPr>
          <w:p>
            <w:r>
              <w:t>Must</w:t>
            </w:r>
          </w:p>
        </w:tc>
        <w:tc>
          <w:tcPr>
            <w:tcW w:type="dxa" w:w="1728"/>
          </w:tcPr>
          <w:p>
            <w:r>
              <w:t>Utilization and stated benefits can be reviewed together.</w:t>
            </w:r>
          </w:p>
        </w:tc>
      </w:tr>
      <w:tr>
        <w:tc>
          <w:tcPr>
            <w:tcW w:type="dxa" w:w="1728"/>
          </w:tcPr>
          <w:p>
            <w:r>
              <w:t>BR-06</w:t>
            </w:r>
          </w:p>
        </w:tc>
        <w:tc>
          <w:tcPr>
            <w:tcW w:type="dxa" w:w="1728"/>
          </w:tcPr>
          <w:p>
            <w:r>
              <w:t>Define and apply data classification and accountable-use requirements for endpoint inputs and outputs.</w:t>
            </w:r>
          </w:p>
        </w:tc>
        <w:tc>
          <w:tcPr>
            <w:tcW w:type="dxa" w:w="1728"/>
          </w:tcPr>
          <w:p>
            <w:r>
              <w:t>Compliance</w:t>
            </w:r>
          </w:p>
        </w:tc>
        <w:tc>
          <w:tcPr>
            <w:tcW w:type="dxa" w:w="1728"/>
          </w:tcPr>
          <w:p>
            <w:r>
              <w:t>Must</w:t>
            </w:r>
          </w:p>
        </w:tc>
        <w:tc>
          <w:tcPr>
            <w:tcW w:type="dxa" w:w="1728"/>
          </w:tcPr>
          <w:p>
            <w:r>
              <w:t>Requirements are approved by the data governance owner.</w:t>
            </w:r>
          </w:p>
        </w:tc>
      </w:tr>
      <w:tr>
        <w:tc>
          <w:tcPr>
            <w:tcW w:type="dxa" w:w="1728"/>
          </w:tcPr>
          <w:p>
            <w:r>
              <w:t>BR-07</w:t>
            </w:r>
          </w:p>
        </w:tc>
        <w:tc>
          <w:tcPr>
            <w:tcW w:type="dxa" w:w="1728"/>
          </w:tcPr>
          <w:p>
            <w:r>
              <w:t>Measure governance coverage within 15 days.</w:t>
            </w:r>
          </w:p>
        </w:tc>
        <w:tc>
          <w:tcPr>
            <w:tcW w:type="dxa" w:w="1728"/>
          </w:tcPr>
          <w:p>
            <w:r>
              <w:t>Reporting</w:t>
            </w:r>
          </w:p>
        </w:tc>
        <w:tc>
          <w:tcPr>
            <w:tcW w:type="dxa" w:w="1728"/>
          </w:tcPr>
          <w:p>
            <w:r>
              <w:t>Must</w:t>
            </w:r>
          </w:p>
        </w:tc>
        <w:tc>
          <w:tcPr>
            <w:tcW w:type="dxa" w:w="1728"/>
          </w:tcPr>
          <w:p>
            <w:r>
              <w:t>CTO receives a coverage result and exceptions list by the agreed date.</w:t>
            </w:r>
          </w:p>
        </w:tc>
      </w:tr>
    </w:tbl>
    <w:p/>
    <w:p>
      <w:pPr>
        <w:pStyle w:val="Heading1"/>
      </w:pPr>
      <w:r>
        <w:t>9. Expected Business Impact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D9EAF7"/>
          </w:tcPr>
          <w:p>
            <w:r>
              <w:t>Impact area</w:t>
            </w:r>
          </w:p>
        </w:tc>
        <w:tc>
          <w:tcPr>
            <w:tcW w:type="dxa" w:w="2160"/>
            <w:shd w:fill="D9EAF7"/>
          </w:tcPr>
          <w:p>
            <w:r>
              <w:t>Baseline</w:t>
            </w:r>
          </w:p>
        </w:tc>
        <w:tc>
          <w:tcPr>
            <w:tcW w:type="dxa" w:w="2160"/>
            <w:shd w:fill="D9EAF7"/>
          </w:tcPr>
          <w:p>
            <w:r>
              <w:t>Expected after</w:t>
            </w:r>
          </w:p>
        </w:tc>
        <w:tc>
          <w:tcPr>
            <w:tcW w:type="dxa" w:w="2160"/>
            <w:shd w:fill="D9EAF7"/>
          </w:tcPr>
          <w:p>
            <w:r>
              <w:t>Basis</w:t>
            </w:r>
          </w:p>
        </w:tc>
      </w:tr>
      <w:tr>
        <w:tc>
          <w:tcPr>
            <w:tcW w:type="dxa" w:w="2160"/>
          </w:tcPr>
          <w:p>
            <w:r>
              <w:t>Project delay</w:t>
            </w:r>
          </w:p>
        </w:tc>
        <w:tc>
          <w:tcPr>
            <w:tcW w:type="dxa" w:w="2160"/>
          </w:tcPr>
          <w:p>
            <w:r>
              <w:t>~1 week from request through key sharing</w:t>
            </w:r>
          </w:p>
        </w:tc>
        <w:tc>
          <w:tcPr>
            <w:tcW w:type="dxa" w:w="2160"/>
          </w:tcPr>
          <w:p>
            <w:r>
              <w:t>[To be confirmed]</w:t>
            </w:r>
          </w:p>
        </w:tc>
        <w:tc>
          <w:tcPr>
            <w:tcW w:type="dxa" w:w="2160"/>
          </w:tcPr>
          <w:p>
            <w:r>
              <w:t>Stakeholder estimate</w:t>
            </w:r>
          </w:p>
        </w:tc>
      </w:tr>
      <w:tr>
        <w:tc>
          <w:tcPr>
            <w:tcW w:type="dxa" w:w="2160"/>
          </w:tcPr>
          <w:p>
            <w:r>
              <w:t>Cost accountability</w:t>
            </w:r>
          </w:p>
        </w:tc>
        <w:tc>
          <w:tcPr>
            <w:tcW w:type="dxa" w:w="2160"/>
          </w:tcPr>
          <w:p>
            <w:r>
              <w:t>Incomplete due to aggregated records</w:t>
            </w:r>
          </w:p>
        </w:tc>
        <w:tc>
          <w:tcPr>
            <w:tcW w:type="dxa" w:w="2160"/>
          </w:tcPr>
          <w:p>
            <w:r>
              <w:t>Attributable governed usage</w:t>
            </w:r>
          </w:p>
        </w:tc>
        <w:tc>
          <w:tcPr>
            <w:tcW w:type="dxa" w:w="2160"/>
          </w:tcPr>
          <w:p>
            <w:r>
              <w:t>Business requirement</w:t>
            </w:r>
          </w:p>
        </w:tc>
      </w:tr>
      <w:tr>
        <w:tc>
          <w:tcPr>
            <w:tcW w:type="dxa" w:w="2160"/>
          </w:tcPr>
          <w:p>
            <w:r>
              <w:t>ROI reporting</w:t>
            </w:r>
          </w:p>
        </w:tc>
        <w:tc>
          <w:tcPr>
            <w:tcW w:type="dxa" w:w="2160"/>
          </w:tcPr>
          <w:p>
            <w:r>
              <w:t>Not credible or complete</w:t>
            </w:r>
          </w:p>
        </w:tc>
        <w:tc>
          <w:tcPr>
            <w:tcW w:type="dxa" w:w="2160"/>
          </w:tcPr>
          <w:p>
            <w:r>
              <w:t>Utilization compared with revenue, time saved, and quality benefits</w:t>
            </w:r>
          </w:p>
        </w:tc>
        <w:tc>
          <w:tcPr>
            <w:tcW w:type="dxa" w:w="2160"/>
          </w:tcPr>
          <w:p>
            <w:r>
              <w:t>Business requirement</w:t>
            </w:r>
          </w:p>
        </w:tc>
      </w:tr>
      <w:tr>
        <w:tc>
          <w:tcPr>
            <w:tcW w:type="dxa" w:w="2160"/>
          </w:tcPr>
          <w:p>
            <w:r>
              <w:t>Compliance readiness</w:t>
            </w:r>
          </w:p>
        </w:tc>
        <w:tc>
          <w:tcPr>
            <w:tcW w:type="dxa" w:w="2160"/>
          </w:tcPr>
          <w:p>
            <w:r>
              <w:t>Future need anticipated</w:t>
            </w:r>
          </w:p>
        </w:tc>
        <w:tc>
          <w:tcPr>
            <w:tcW w:type="dxa" w:w="2160"/>
          </w:tcPr>
          <w:p>
            <w:r>
              <w:t>Improved evidence and accountability</w:t>
            </w:r>
          </w:p>
        </w:tc>
        <w:tc>
          <w:tcPr>
            <w:tcW w:type="dxa" w:w="2160"/>
          </w:tcPr>
          <w:p>
            <w:r>
              <w:t>[Assumption — validate by compliance owner]</w:t>
            </w:r>
          </w:p>
        </w:tc>
      </w:tr>
    </w:tbl>
    <w:p/>
    <w:p>
      <w:r>
        <w:t>No financial value can be derived yet.</w:t>
      </w:r>
    </w:p>
    <w:p>
      <w:pPr>
        <w:pStyle w:val="Heading1"/>
      </w:pPr>
      <w:r>
        <w:t>10. Assumptions, Constraints, and Dependencies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D9EAF7"/>
          </w:tcPr>
          <w:p>
            <w:r>
              <w:t>#</w:t>
            </w:r>
          </w:p>
        </w:tc>
        <w:tc>
          <w:tcPr>
            <w:tcW w:type="dxa" w:w="2160"/>
            <w:shd w:fill="D9EAF7"/>
          </w:tcPr>
          <w:p>
            <w:r>
              <w:t>Type</w:t>
            </w:r>
          </w:p>
        </w:tc>
        <w:tc>
          <w:tcPr>
            <w:tcW w:type="dxa" w:w="2160"/>
            <w:shd w:fill="D9EAF7"/>
          </w:tcPr>
          <w:p>
            <w:r>
              <w:t>Statement</w:t>
            </w:r>
          </w:p>
        </w:tc>
        <w:tc>
          <w:tcPr>
            <w:tcW w:type="dxa" w:w="2160"/>
            <w:shd w:fill="D9EAF7"/>
          </w:tcPr>
          <w:p>
            <w:r>
              <w:t>Owner to validate</w:t>
            </w:r>
          </w:p>
        </w:tc>
      </w:tr>
      <w:tr>
        <w:tc>
          <w:tcPr>
            <w:tcW w:type="dxa" w:w="2160"/>
          </w:tcPr>
          <w:p>
            <w:r>
              <w:t>A1</w:t>
            </w:r>
          </w:p>
        </w:tc>
        <w:tc>
          <w:tcPr>
            <w:tcW w:type="dxa" w:w="2160"/>
          </w:tcPr>
          <w:p>
            <w:r>
              <w:t>Assumption</w:t>
            </w:r>
          </w:p>
        </w:tc>
        <w:tc>
          <w:tcPr>
            <w:tcW w:type="dxa" w:w="2160"/>
          </w:tcPr>
          <w:p>
            <w:r>
              <w:t>Request through key sharing takes approximately one week.</w:t>
            </w:r>
          </w:p>
        </w:tc>
        <w:tc>
          <w:tcPr>
            <w:tcW w:type="dxa" w:w="2160"/>
          </w:tcPr>
          <w:p>
            <w:r>
              <w:t>Outsourced IT service</w:t>
            </w:r>
          </w:p>
        </w:tc>
      </w:tr>
      <w:tr>
        <w:tc>
          <w:tcPr>
            <w:tcW w:type="dxa" w:w="2160"/>
          </w:tcPr>
          <w:p>
            <w:r>
              <w:t>A2</w:t>
            </w:r>
          </w:p>
        </w:tc>
        <w:tc>
          <w:tcPr>
            <w:tcW w:type="dxa" w:w="2160"/>
          </w:tcPr>
          <w:p>
            <w:r>
              <w:t>Assumption</w:t>
            </w:r>
          </w:p>
        </w:tc>
        <w:tc>
          <w:tcPr>
            <w:tcW w:type="dxa" w:w="2160"/>
          </w:tcPr>
          <w:p>
            <w:r>
              <w:t>The 15-day target begins after CTO approval.</w:t>
            </w:r>
          </w:p>
        </w:tc>
        <w:tc>
          <w:tcPr>
            <w:tcW w:type="dxa" w:w="2160"/>
          </w:tcPr>
          <w:p>
            <w:r>
              <w:t>CTO</w:t>
            </w:r>
          </w:p>
        </w:tc>
      </w:tr>
      <w:tr>
        <w:tc>
          <w:tcPr>
            <w:tcW w:type="dxa" w:w="2160"/>
          </w:tcPr>
          <w:p>
            <w:r>
              <w:t>C1</w:t>
            </w:r>
          </w:p>
        </w:tc>
        <w:tc>
          <w:tcPr>
            <w:tcW w:type="dxa" w:w="2160"/>
          </w:tcPr>
          <w:p>
            <w:r>
              <w:t>Constraint</w:t>
            </w:r>
          </w:p>
        </w:tc>
        <w:tc>
          <w:tcPr>
            <w:tcW w:type="dxa" w:w="2160"/>
          </w:tcPr>
          <w:p>
            <w:r>
              <w:t>Current provider records are aggregated.</w:t>
            </w:r>
          </w:p>
        </w:tc>
        <w:tc>
          <w:tcPr>
            <w:tcW w:type="dxa" w:w="2160"/>
          </w:tcPr>
          <w:p>
            <w:r>
              <w:t>IT</w:t>
            </w:r>
          </w:p>
        </w:tc>
      </w:tr>
      <w:tr>
        <w:tc>
          <w:tcPr>
            <w:tcW w:type="dxa" w:w="2160"/>
          </w:tcPr>
          <w:p>
            <w:r>
              <w:t>D1</w:t>
            </w:r>
          </w:p>
        </w:tc>
        <w:tc>
          <w:tcPr>
            <w:tcW w:type="dxa" w:w="2160"/>
          </w:tcPr>
          <w:p>
            <w:r>
              <w:t>Dependency</w:t>
            </w:r>
          </w:p>
        </w:tc>
        <w:tc>
          <w:tcPr>
            <w:tcW w:type="dxa" w:w="2160"/>
          </w:tcPr>
          <w:p>
            <w:r>
              <w:t>Finance, procurement, cloud-account, invoice, and team data must be reconciled for the baseline.</w:t>
            </w:r>
          </w:p>
        </w:tc>
        <w:tc>
          <w:tcPr>
            <w:tcW w:type="dxa" w:w="2160"/>
          </w:tcPr>
          <w:p>
            <w:r>
              <w:t>IT / Finance / Procurement</w:t>
            </w:r>
          </w:p>
        </w:tc>
      </w:tr>
      <w:tr>
        <w:tc>
          <w:tcPr>
            <w:tcW w:type="dxa" w:w="2160"/>
          </w:tcPr>
          <w:p>
            <w:r>
              <w:t>D2</w:t>
            </w:r>
          </w:p>
        </w:tc>
        <w:tc>
          <w:tcPr>
            <w:tcW w:type="dxa" w:w="2160"/>
          </w:tcPr>
          <w:p>
            <w:r>
              <w:t>Dependency</w:t>
            </w:r>
          </w:p>
        </w:tc>
        <w:tc>
          <w:tcPr>
            <w:tcW w:type="dxa" w:w="2160"/>
          </w:tcPr>
          <w:p>
            <w:r>
              <w:t>BUs must define owners and benefit measures.</w:t>
            </w:r>
          </w:p>
        </w:tc>
        <w:tc>
          <w:tcPr>
            <w:tcW w:type="dxa" w:w="2160"/>
          </w:tcPr>
          <w:p>
            <w:r>
              <w:t>BU leadership</w:t>
            </w:r>
          </w:p>
        </w:tc>
      </w:tr>
    </w:tbl>
    <w:p/>
    <w:p>
      <w:pPr>
        <w:pStyle w:val="Heading1"/>
      </w:pPr>
      <w:r>
        <w:t>11. Success Metrics and Measurement Plan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D9EAF7"/>
          </w:tcPr>
          <w:p>
            <w:r>
              <w:t>Metric</w:t>
            </w:r>
          </w:p>
        </w:tc>
        <w:tc>
          <w:tcPr>
            <w:tcW w:type="dxa" w:w="1728"/>
            <w:shd w:fill="D9EAF7"/>
          </w:tcPr>
          <w:p>
            <w:r>
              <w:t>Definition</w:t>
            </w:r>
          </w:p>
        </w:tc>
        <w:tc>
          <w:tcPr>
            <w:tcW w:type="dxa" w:w="1728"/>
            <w:shd w:fill="D9EAF7"/>
          </w:tcPr>
          <w:p>
            <w:r>
              <w:t>Baseline</w:t>
            </w:r>
          </w:p>
        </w:tc>
        <w:tc>
          <w:tcPr>
            <w:tcW w:type="dxa" w:w="1728"/>
            <w:shd w:fill="D9EAF7"/>
          </w:tcPr>
          <w:p>
            <w:r>
              <w:t>Target</w:t>
            </w:r>
          </w:p>
        </w:tc>
        <w:tc>
          <w:tcPr>
            <w:tcW w:type="dxa" w:w="1728"/>
            <w:shd w:fill="D9EAF7"/>
          </w:tcPr>
          <w:p>
            <w:r>
              <w:t>Measured by</w:t>
            </w:r>
          </w:p>
        </w:tc>
      </w:tr>
      <w:tr>
        <w:tc>
          <w:tcPr>
            <w:tcW w:type="dxa" w:w="1728"/>
          </w:tcPr>
          <w:p>
            <w:r>
              <w:t>Governance coverage</w:t>
            </w:r>
          </w:p>
        </w:tc>
        <w:tc>
          <w:tcPr>
            <w:tcW w:type="dxa" w:w="1728"/>
          </w:tcPr>
          <w:p>
            <w:r>
              <w:t>Identified endpoint use subject to required governance ÷ all identified endpoint use × 100</w:t>
            </w:r>
          </w:p>
        </w:tc>
        <w:tc>
          <w:tcPr>
            <w:tcW w:type="dxa" w:w="1728"/>
          </w:tcPr>
          <w:p>
            <w:r>
              <w:t>[To be confirmed]</w:t>
            </w:r>
          </w:p>
        </w:tc>
        <w:tc>
          <w:tcPr>
            <w:tcW w:type="dxa" w:w="1728"/>
          </w:tcPr>
          <w:p>
            <w:r>
              <w:t>100%</w:t>
            </w:r>
          </w:p>
        </w:tc>
        <w:tc>
          <w:tcPr>
            <w:tcW w:type="dxa" w:w="1728"/>
          </w:tcPr>
          <w:p>
            <w:r>
              <w:t>IT</w:t>
            </w:r>
          </w:p>
        </w:tc>
      </w:tr>
      <w:tr>
        <w:tc>
          <w:tcPr>
            <w:tcW w:type="dxa" w:w="1728"/>
          </w:tcPr>
          <w:p>
            <w:r>
              <w:t>Attribution completeness</w:t>
            </w:r>
          </w:p>
        </w:tc>
        <w:tc>
          <w:tcPr>
            <w:tcW w:type="dxa" w:w="1728"/>
          </w:tcPr>
          <w:p>
            <w:r>
              <w:t>Governed usage with BU, project, and user recorded ÷ total governed usage × 100</w:t>
            </w:r>
          </w:p>
        </w:tc>
        <w:tc>
          <w:tcPr>
            <w:tcW w:type="dxa" w:w="1728"/>
          </w:tcPr>
          <w:p>
            <w:r>
              <w:t>[To be confirmed]</w:t>
            </w:r>
          </w:p>
        </w:tc>
        <w:tc>
          <w:tcPr>
            <w:tcW w:type="dxa" w:w="1728"/>
          </w:tcPr>
          <w:p>
            <w:r>
              <w:t>100%</w:t>
            </w:r>
          </w:p>
        </w:tc>
        <w:tc>
          <w:tcPr>
            <w:tcW w:type="dxa" w:w="1728"/>
          </w:tcPr>
          <w:p>
            <w:r>
              <w:t>IT / BU owners</w:t>
            </w:r>
          </w:p>
        </w:tc>
      </w:tr>
      <w:tr>
        <w:tc>
          <w:tcPr>
            <w:tcW w:type="dxa" w:w="1728"/>
          </w:tcPr>
          <w:p>
            <w:r>
              <w:t>Chargeback completeness</w:t>
            </w:r>
          </w:p>
        </w:tc>
        <w:tc>
          <w:tcPr>
            <w:tcW w:type="dxa" w:w="1728"/>
          </w:tcPr>
          <w:p>
            <w:r>
              <w:t>Attributable usage cost ÷ total governed usage cost × 100</w:t>
            </w:r>
          </w:p>
        </w:tc>
        <w:tc>
          <w:tcPr>
            <w:tcW w:type="dxa" w:w="1728"/>
          </w:tcPr>
          <w:p>
            <w:r>
              <w:t>[To be confirmed]</w:t>
            </w:r>
          </w:p>
        </w:tc>
        <w:tc>
          <w:tcPr>
            <w:tcW w:type="dxa" w:w="1728"/>
          </w:tcPr>
          <w:p>
            <w:r>
              <w:t>[To be confirmed — CTO]</w:t>
            </w:r>
          </w:p>
        </w:tc>
        <w:tc>
          <w:tcPr>
            <w:tcW w:type="dxa" w:w="1728"/>
          </w:tcPr>
          <w:p>
            <w:r>
              <w:t>Finance / IT</w:t>
            </w:r>
          </w:p>
        </w:tc>
      </w:tr>
      <w:tr>
        <w:tc>
          <w:tcPr>
            <w:tcW w:type="dxa" w:w="1728"/>
          </w:tcPr>
          <w:p>
            <w:r>
              <w:t>ROI reporting coverage</w:t>
            </w:r>
          </w:p>
        </w:tc>
        <w:tc>
          <w:tcPr>
            <w:tcW w:type="dxa" w:w="1728"/>
          </w:tcPr>
          <w:p>
            <w:r>
              <w:t>Governed use with utilization and stated benefit recorded ÷ total governed use × 100</w:t>
            </w:r>
          </w:p>
        </w:tc>
        <w:tc>
          <w:tcPr>
            <w:tcW w:type="dxa" w:w="1728"/>
          </w:tcPr>
          <w:p>
            <w:r>
              <w:t>[To be confirmed]</w:t>
            </w:r>
          </w:p>
        </w:tc>
        <w:tc>
          <w:tcPr>
            <w:tcW w:type="dxa" w:w="1728"/>
          </w:tcPr>
          <w:p>
            <w:r>
              <w:t>[To be confirmed — CTO]</w:t>
            </w:r>
          </w:p>
        </w:tc>
        <w:tc>
          <w:tcPr>
            <w:tcW w:type="dxa" w:w="1728"/>
          </w:tcPr>
          <w:p>
            <w:r>
              <w:t>BU owners / leadership</w:t>
            </w:r>
          </w:p>
        </w:tc>
      </w:tr>
    </w:tbl>
    <w:p/>
    <w:p>
      <w:pPr>
        <w:pStyle w:val="Heading1"/>
      </w:pPr>
      <w:r>
        <w:t>12. Risks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D9EAF7"/>
          </w:tcPr>
          <w:p>
            <w:r>
              <w:t>ID</w:t>
            </w:r>
          </w:p>
        </w:tc>
        <w:tc>
          <w:tcPr>
            <w:tcW w:type="dxa" w:w="2160"/>
            <w:shd w:fill="D9EAF7"/>
          </w:tcPr>
          <w:p>
            <w:r>
              <w:t>Risk</w:t>
            </w:r>
          </w:p>
        </w:tc>
        <w:tc>
          <w:tcPr>
            <w:tcW w:type="dxa" w:w="2160"/>
            <w:shd w:fill="D9EAF7"/>
          </w:tcPr>
          <w:p>
            <w:r>
              <w:t>Category</w:t>
            </w:r>
          </w:p>
        </w:tc>
        <w:tc>
          <w:tcPr>
            <w:tcW w:type="dxa" w:w="2160"/>
            <w:shd w:fill="D9EAF7"/>
          </w:tcPr>
          <w:p>
            <w:r>
              <w:t>Mitigation / owner</w:t>
            </w:r>
          </w:p>
        </w:tc>
      </w:tr>
      <w:tr>
        <w:tc>
          <w:tcPr>
            <w:tcW w:type="dxa" w:w="2160"/>
          </w:tcPr>
          <w:p>
            <w:r>
              <w:t>R1</w:t>
            </w:r>
          </w:p>
        </w:tc>
        <w:tc>
          <w:tcPr>
            <w:tcW w:type="dxa" w:w="2160"/>
          </w:tcPr>
          <w:p>
            <w:r>
              <w:t>Inventory is incomplete, making 100% coverage unprovable.</w:t>
            </w:r>
          </w:p>
        </w:tc>
        <w:tc>
          <w:tcPr>
            <w:tcW w:type="dxa" w:w="2160"/>
          </w:tcPr>
          <w:p>
            <w:r>
              <w:t>Data</w:t>
            </w:r>
          </w:p>
        </w:tc>
        <w:tc>
          <w:tcPr>
            <w:tcW w:type="dxa" w:w="2160"/>
          </w:tcPr>
          <w:p>
            <w:r>
              <w:t>Reconcile all identified source records; IT</w:t>
            </w:r>
          </w:p>
        </w:tc>
      </w:tr>
      <w:tr>
        <w:tc>
          <w:tcPr>
            <w:tcW w:type="dxa" w:w="2160"/>
          </w:tcPr>
          <w:p>
            <w:r>
              <w:t>R2</w:t>
            </w:r>
          </w:p>
        </w:tc>
        <w:tc>
          <w:tcPr>
            <w:tcW w:type="dxa" w:w="2160"/>
          </w:tcPr>
          <w:p>
            <w:r>
              <w:t>BUs do not provide ownership or benefit data.</w:t>
            </w:r>
          </w:p>
        </w:tc>
        <w:tc>
          <w:tcPr>
            <w:tcW w:type="dxa" w:w="2160"/>
          </w:tcPr>
          <w:p>
            <w:r>
              <w:t>People / Process</w:t>
            </w:r>
          </w:p>
        </w:tc>
        <w:tc>
          <w:tcPr>
            <w:tcW w:type="dxa" w:w="2160"/>
          </w:tcPr>
          <w:p>
            <w:r>
              <w:t>Define accountable BU owner; CTO / BU leadership</w:t>
            </w:r>
          </w:p>
        </w:tc>
      </w:tr>
      <w:tr>
        <w:tc>
          <w:tcPr>
            <w:tcW w:type="dxa" w:w="2160"/>
          </w:tcPr>
          <w:p>
            <w:r>
              <w:t>R3</w:t>
            </w:r>
          </w:p>
        </w:tc>
        <w:tc>
          <w:tcPr>
            <w:tcW w:type="dxa" w:w="2160"/>
          </w:tcPr>
          <w:p>
            <w:r>
              <w:t>Sensitive data classification is unknown.</w:t>
            </w:r>
          </w:p>
        </w:tc>
        <w:tc>
          <w:tcPr>
            <w:tcW w:type="dxa" w:w="2160"/>
          </w:tcPr>
          <w:p>
            <w:r>
              <w:t>Compliance</w:t>
            </w:r>
          </w:p>
        </w:tc>
        <w:tc>
          <w:tcPr>
            <w:tcW w:type="dxa" w:w="2160"/>
          </w:tcPr>
          <w:p>
            <w:r>
              <w:t>Confirm classification requirements; data governance owner</w:t>
            </w:r>
          </w:p>
        </w:tc>
      </w:tr>
      <w:tr>
        <w:tc>
          <w:tcPr>
            <w:tcW w:type="dxa" w:w="2160"/>
          </w:tcPr>
          <w:p>
            <w:r>
              <w:t>R4</w:t>
            </w:r>
          </w:p>
        </w:tc>
        <w:tc>
          <w:tcPr>
            <w:tcW w:type="dxa" w:w="2160"/>
          </w:tcPr>
          <w:p>
            <w:r>
              <w:t>Outsourced IT capacity delays baseline or access work.</w:t>
            </w:r>
          </w:p>
        </w:tc>
        <w:tc>
          <w:tcPr>
            <w:tcW w:type="dxa" w:w="2160"/>
          </w:tcPr>
          <w:p>
            <w:r>
              <w:t>Process</w:t>
            </w:r>
          </w:p>
        </w:tc>
        <w:tc>
          <w:tcPr>
            <w:tcW w:type="dxa" w:w="2160"/>
          </w:tcPr>
          <w:p>
            <w:r>
              <w:t>Confirm staffing and service commitments; IT service owner</w:t>
            </w:r>
          </w:p>
        </w:tc>
      </w:tr>
    </w:tbl>
    <w:p/>
    <w:p>
      <w:pPr>
        <w:pStyle w:val="Heading1"/>
      </w:pPr>
      <w:r>
        <w:t>13. Open Questions</w:t>
      </w:r>
    </w:p>
    <w:p>
      <w:r>
        <w:t>1. What is the 15-day target start date, and is it for baseline measurement, target achievement, or both? — CTO</w:t>
      </w:r>
    </w:p>
    <w:p>
      <w:r>
        <w:t>2. What is the current measured governance-coverage baseline? — IT</w:t>
      </w:r>
    </w:p>
    <w:p>
      <w:r>
        <w:t>3. What are the endpoint-use volume, spend, regions, and legal entities in scope? — IT / Finance</w:t>
      </w:r>
    </w:p>
    <w:p>
      <w:r>
        <w:t>4. What is active effort versus wait time within the one-week access process? — Outsourced IT service</w:t>
      </w:r>
    </w:p>
    <w:p>
      <w:r>
        <w:t>5. What data classifications and use requirements apply? — Data governance owner</w:t>
      </w:r>
    </w:p>
    <w:p>
      <w:r>
        <w:t>6. What chargeback-completeness and ROI-reporting targets will the CTO approve? — CTO</w:t>
      </w:r>
    </w:p>
    <w:p>
      <w:pPr>
        <w:pStyle w:val="Heading1"/>
      </w:pPr>
      <w:r>
        <w:t>Appendix A — Research and Benchmarks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D9EAF7"/>
          </w:tcPr>
          <w:p>
            <w:r>
              <w:t>Finding</w:t>
            </w:r>
          </w:p>
        </w:tc>
        <w:tc>
          <w:tcPr>
            <w:tcW w:type="dxa" w:w="2880"/>
            <w:shd w:fill="D9EAF7"/>
          </w:tcPr>
          <w:p>
            <w:r>
              <w:t>Relevance</w:t>
            </w:r>
          </w:p>
        </w:tc>
        <w:tc>
          <w:tcPr>
            <w:tcW w:type="dxa" w:w="2880"/>
            <w:shd w:fill="D9EAF7"/>
          </w:tcPr>
          <w:p>
            <w:r>
              <w:t>Source</w:t>
            </w:r>
          </w:p>
        </w:tc>
      </w:tr>
      <w:tr>
        <w:tc>
          <w:tcPr>
            <w:tcW w:type="dxa" w:w="2880"/>
          </w:tcPr>
          <w:p>
            <w:r>
              <w:t>AI governance guidance emphasizes executive accountability and a scalable inventory of AI use, including third-party and unapproved use.</w:t>
            </w:r>
          </w:p>
        </w:tc>
        <w:tc>
          <w:tcPr>
            <w:tcW w:type="dxa" w:w="2880"/>
          </w:tcPr>
          <w:p>
            <w:r>
              <w:t>Supports a complete accountable-use inventory.</w:t>
            </w:r>
          </w:p>
        </w:tc>
        <w:tc>
          <w:tcPr>
            <w:tcW w:type="dxa" w:w="2880"/>
          </w:tcPr>
          <w:p>
            <w:r>
              <w:t>Protiviti, AI Governance Guide, December 2024</w:t>
            </w:r>
          </w:p>
        </w:tc>
      </w:tr>
      <w:tr>
        <w:tc>
          <w:tcPr>
            <w:tcW w:type="dxa" w:w="2880"/>
          </w:tcPr>
          <w:p>
            <w:r>
              <w:t>NIST AI RMF provides voluntary guidance for organizations managing AI-related risks.</w:t>
            </w:r>
          </w:p>
        </w:tc>
        <w:tc>
          <w:tcPr>
            <w:tcW w:type="dxa" w:w="2880"/>
          </w:tcPr>
          <w:p>
            <w:r>
              <w:t>Supports accountable governance and measurement practices; it does not set a coverage target.</w:t>
            </w:r>
          </w:p>
        </w:tc>
        <w:tc>
          <w:tcPr>
            <w:tcW w:type="dxa" w:w="2880"/>
          </w:tcPr>
          <w:p>
            <w:r>
              <w:t>NIST, AI Risk Management Framework 1.0, January 2023</w:t>
            </w:r>
          </w:p>
        </w:tc>
      </w:tr>
      <w:tr>
        <w:tc>
          <w:tcPr>
            <w:tcW w:type="dxa" w:w="2880"/>
          </w:tcPr>
          <w:p>
            <w:r>
              <w:t>ISO/IEC 42001 specifies requirements for an AI management system.</w:t>
            </w:r>
          </w:p>
        </w:tc>
        <w:tc>
          <w:tcPr>
            <w:tcW w:type="dxa" w:w="2880"/>
          </w:tcPr>
          <w:p>
            <w:r>
              <w:t>Relevant context for future compliance readiness; applicability requires organizational assessment.</w:t>
            </w:r>
          </w:p>
        </w:tc>
        <w:tc>
          <w:tcPr>
            <w:tcW w:type="dxa" w:w="2880"/>
          </w:tcPr>
          <w:p>
            <w:r>
              <w:t>ISO, ISO/IEC 42001:2023, December 2023</w:t>
            </w:r>
          </w:p>
        </w:tc>
      </w:tr>
    </w:tbl>
    <w:p/>
    <w:p>
      <w:r>
        <w:t>No published standard was found that mandates a universal percentage target. The 100% target is the organization’s stated target, pending CTO approval.</w:t>
      </w:r>
    </w:p>
    <w:p>
      <w:pPr>
        <w:pStyle w:val="Heading1"/>
      </w:pPr>
      <w:r>
        <w:t>Appendix B — Ideas Parked for Solutioning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D9EAF7"/>
          </w:tcPr>
          <w:p>
            <w:r>
              <w:t>Idea raised</w:t>
            </w:r>
          </w:p>
        </w:tc>
        <w:tc>
          <w:tcPr>
            <w:tcW w:type="dxa" w:w="4320"/>
            <w:shd w:fill="D9EAF7"/>
          </w:tcPr>
          <w:p>
            <w:r>
              <w:t>Related need</w:t>
            </w:r>
          </w:p>
        </w:tc>
      </w:tr>
      <w:tr>
        <w:tc>
          <w:tcPr>
            <w:tcW w:type="dxa" w:w="4320"/>
          </w:tcPr>
          <w:p>
            <w:r>
              <w:t>“AI Gateway”</w:t>
            </w:r>
          </w:p>
        </w:tc>
        <w:tc>
          <w:tcPr>
            <w:tcW w:type="dxa" w:w="4320"/>
          </w:tcPr>
          <w:p>
            <w:r>
              <w:t>Granular, attributable usage information and governance coverage</w:t>
            </w:r>
          </w:p>
        </w:tc>
      </w:tr>
    </w:tbl>
    <w:p/>
    <w:sectPr w:rsidR="00FC693F" w:rsidRPr="0006063C" w:rsidSect="00034616">
      <w:pgSz w:w="12240" w:h="15840"/>
      <w:pgMar w:top="936" w:right="1800" w:bottom="936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