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al Bold" w:hAnsi="Arial Bold" w:cs="Arial Bold" w:eastAsia="Arial Bold"/>
          <w:b/>
          <w:bCs/>
          <w:color w:val="1f3864"/>
          <w:sz w:val="40"/>
          <w:szCs w:val="40"/>
        </w:rPr>
        <w:t>Response to Reviewers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2e74b5"/>
          <w:sz w:val="32"/>
          <w:szCs w:val="32"/>
        </w:rPr>
        <w:t>Reviewer 1</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1</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experimental system is insufficiently defined and internally inconsistent. Different laser wavelengths, sensor types/numbers, and YOLO versions appear in different sections. Provide one clear, consistent description of the final hardware configuration, optical setup, polymer classes, and ML workflow.</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thank the reviewer for highlighting this important issue. We acknowledge that earlier versions of the manuscript contained descriptions of preliminary experimental configurations that created ambiguity regarding the final system architecture. To address this, we have extensively revised the Methods section to present a single, internally consistent machine learning workflow.</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final computational framework is now organized into two distinct operational stages: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Quantification Stage: Multi-angle scattering measurements obtained from sensors S₁–S₄ are processed using a non-linear Support Vector Regression (SVR) model with a Radial Basis Function (RBF) kernel to estimate microplastic concentration.</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Classification Stage: Polymer identification is performed using a feature-based classification framework utilizing morphological, colorimetric, and statistical descriptors extracted from processed particle images to classify the two target polymer classes, namely Nylon and PVC.</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Descriptions of preliminary hardware configurations and earlier sensor arrangements have been moved to a separate “Preliminary Evaluation” section to improve clarity and reproducibility.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2</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Analytical validation is inadequate. Provide calibration curves, independent validation, replicates, LOD/LOQ, recovery, precision, RMSE/MAE/R², and comparison with a reference method.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appreciate the reviewer's concern regarding analytical validation. In response, we substantially strengthened our validation methodology by replacing the original single-split evaluation approach with a rigorous 5-fold stratified cross-validation framework.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Three regression models were evaluated under identical experimental conditions: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2257"/>
        <w:gridCol w:w="2257"/>
      </w:tblGrid>
      <w:tr>
        <w:tc>
          <w:tcPr>
            <w:tcW w:w="4515"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2"/>
                <w:szCs w:val="22"/>
              </w:rPr>
              <w:t>Model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2"/>
                <w:szCs w:val="22"/>
              </w:rPr>
              <w:t>R²</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2"/>
                <w:szCs w:val="22"/>
              </w:rPr>
              <w:t>MAE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Lasso Regression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0.78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0.90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Random Forest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0.84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0.60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SVR (RBF Kernel)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0.84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0.60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w:hAnsi="Arial" w:cs="Arial" w:eastAsia="Arial"/>
          <w:color w:val="000000"/>
          <w:sz w:val="22"/>
          <w:szCs w:val="22"/>
        </w:rPr>
        <w:t>The non-linear SVR model demonstrated a substantial improvement over the original linear approach, reducing the Mean Absolute Error by approximately 33.3%.</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For polymer classification, the updated evaluation yielded:</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5-fold cross-validation accuracy: 98.45% ± 0.53%</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Independent hold-out test F1-score: 0.988</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These additions significantly improve the statistical robustness of our validation framework.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4</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ML analysis needs stronger validation. Report dataset size, annotation procedure, train/validation/test split, augmentation, hyperparameters, confusion matrix, precision, recall, F1, mAP, and failure cases. Exclude data leakage.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agree that comprehensive machine learning validation is essential. Accordingly, the machine learning section has been substantially expanded.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Italics" w:hAnsi="Arial Bold Italics" w:cs="Arial Bold Italics" w:eastAsia="Arial Bold Italics"/>
          <w:b/>
          <w:bCs/>
          <w:i/>
          <w:iCs/>
          <w:color w:val="000000"/>
          <w:sz w:val="22"/>
          <w:szCs w:val="22"/>
        </w:rPr>
        <w:t>Dataset and Splitting Strategy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final balanced dataset consists of 2,000 unique particle records, comprising:</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1,000 Nylon samples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1,000 PVC samples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evaluation protocol uses: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An 80:20 stratified train-test split</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A 5-fold stratified cross-validation framework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Italics" w:hAnsi="Arial Bold Italics" w:cs="Arial Bold Italics" w:eastAsia="Arial Bold Italics"/>
          <w:b/>
          <w:bCs/>
          <w:i/>
          <w:iCs/>
          <w:color w:val="000000"/>
          <w:sz w:val="22"/>
          <w:szCs w:val="22"/>
        </w:rPr>
        <w:t>Hyperparameters and Data Augmentation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revised manuscript now includes complete documentation of:</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Hyperparameter settings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Geometric augmentation strategies</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Photometric augmentation strategies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Italics" w:hAnsi="Arial Bold Italics" w:cs="Arial Bold Italics" w:eastAsia="Arial Bold Italics"/>
          <w:b/>
          <w:bCs/>
          <w:i/>
          <w:iCs/>
          <w:color w:val="000000"/>
          <w:sz w:val="22"/>
          <w:szCs w:val="22"/>
        </w:rPr>
        <w:t>Classification Performance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hold-out test confusion matrix yielded:</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000000"/>
          <w:sz w:val="22"/>
          <w:szCs w:val="22"/>
        </w:rPr>
        <w:t>Nylon: 198/200 correctly classified</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000000"/>
          <w:sz w:val="22"/>
          <w:szCs w:val="22"/>
        </w:rPr>
        <w:t>PVC: 197/200 correctly classified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Per-class performance metrics were:</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Precision: 0.985–0.990</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Recall: 0.985–0.990</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F1-score: 0.985–0.990</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final hold-out classification accuracy was 98.75%.</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Italics" w:hAnsi="Arial Bold Italics" w:cs="Arial Bold Italics" w:eastAsia="Arial Bold Italics"/>
          <w:b/>
          <w:bCs/>
          <w:i/>
          <w:iCs/>
          <w:color w:val="000000"/>
          <w:sz w:val="22"/>
          <w:szCs w:val="22"/>
        </w:rPr>
        <w:t>Clarification Regarding mAP</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thank the reviewer for raising the issue of mAP evaluation. Mean Average Precision (mAP) is primarily used in object detection and segmentation tasks involving spatial localization metrics such as Intersection over Union (IoU). Since our final polymer classification framework operates on extracted morphological and statistical features rather than bounding-box localization, mAP is not directly applicable. Therefore, accuracy, F1-score, and confusion matrix analyses were selected as the primary evaluation metrics.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Italics" w:hAnsi="Arial Bold Italics" w:cs="Arial Bold Italics" w:eastAsia="Arial Bold Italics"/>
          <w:b/>
          <w:bCs/>
          <w:i/>
          <w:iCs/>
          <w:color w:val="000000"/>
          <w:sz w:val="22"/>
          <w:szCs w:val="22"/>
        </w:rPr>
        <w:t>Prevention of Data Leakage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To eliminate any possibility of data leakage, train-test partitioning was performed at the level of independent source measurements and original images. Augmented samples derived from the same source image were constrained to remain within the same partition.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Representative failure cases, including overlapping fragments and ambiguous particle boundaries, have also been added to the revised manuscript.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7</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Data and code availability should be improved.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thank the reviewer for emphasizing the importance of reproducibility and open science.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To address this concern, we have established a permanent public repository containing:</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The complete balanced dataset (final_dataset.csv)</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Machine learning notebooks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Model training pipelines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Cross-validation procedures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Visualization scripts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Environment dependency specifications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These resources are now referenced in the revised Data Availability Statement.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8</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References should be improved and interpretable machine learning should be discussed.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appreciate this valuable recommendation. The suggested study has been incorporated into both the Introduction and Discussion sections.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In addition, we expanded our discussion of explainable machine learning by analyzing feature importance using Random Forest models. Our analysis indicates that:</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000000"/>
          <w:sz w:val="22"/>
          <w:szCs w:val="22"/>
        </w:rPr>
        <w:t>mean_particle_area</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000000"/>
          <w:sz w:val="22"/>
          <w:szCs w:val="22"/>
        </w:rPr>
        <w:t>green_std</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000000"/>
          <w:sz w:val="22"/>
          <w:szCs w:val="22"/>
        </w:rPr>
        <w:t>max_particle_area</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represent the dominant predictive features for polymer classification. These features also possess clear physical interpretations related to particle morphology and fluorescence behavior, improving the interpretability of our machine learning framework.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2e74b5"/>
          <w:sz w:val="32"/>
          <w:szCs w:val="32"/>
        </w:rPr>
        <w:t>Reviewer 2</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9</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Training on pristine commercial plastics introduces dataset bias.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fully agree that training exclusively on pristine laboratory-prepared samples limits real-world generalizability.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Accordingly, we have revised our claims throughout the manuscript and explicitly positioned the present work as a controlled laboratory proof-of-concept study. We have also added the incorporation of:</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000000"/>
          <w:sz w:val="22"/>
          <w:szCs w:val="22"/>
        </w:rPr>
        <w:t>Environmentally weathered plastics</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000000"/>
          <w:sz w:val="22"/>
          <w:szCs w:val="22"/>
        </w:rPr>
        <w:t>UV-aged particles</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000000"/>
          <w:sz w:val="22"/>
          <w:szCs w:val="22"/>
        </w:rPr>
        <w:t>Mechanically abraded particles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as a key objective of future work to improve model robustness under environmental conditions.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10</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Recent machine learning studies in microplastic sensing should be acknowledged.</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thank the reviewer for these suggestions. Both references have been incorporated into the revised Introduction and Discussion sections to better contextualize recent advances in machine learning-driven microplastic sensing and separation technologies.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11</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image dataset is too small and may lead to overfitting.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appreciate this concern.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First, model stability was evaluated using a rigorous 5-fold stratified cross-validation framework, resulting in:</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000000"/>
          <w:sz w:val="22"/>
          <w:szCs w:val="22"/>
        </w:rPr>
        <w:t>98.45% ± 0.53% accuracy</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The low variance across folds indicates that the observed performance is unlikely to be an artifact of a favorable train-test split.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Second, we clarify that the current dataset contains 2,000 unique particle records. Nevertheless, we agree that larger image datasets would further improve segmentation robustness. Therefore, we have updated the manuscript to indicate our ongoing effort to expand the image corpus to 3,000–5,000 uniquely annotated particle images prior to augmentation.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12</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Lasso regression forces a linear relationship onto non-linear scattering data.</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We fully agree with the reviewer's interpretation of the underlying optical physics. At elevated concentrations, multiple scattering, particle shadowing, and interference effects introduce significant non-linear behavior, violating the assumptions of linear regression models.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This limitation directly motivated our transition to non-linear machine learning approaches.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Comment 13</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Implement non-linear regressors such as SVR and Random Forest.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Following the reviewer's recommendation, we implemented and evaluated several non-linear regression approaches using identical 5-fold cross-validation protocols: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2257"/>
        <w:gridCol w:w="2257"/>
      </w:tblGrid>
      <w:tr>
        <w:tc>
          <w:tcPr>
            <w:tcW w:w="4515"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2"/>
                <w:szCs w:val="22"/>
              </w:rPr>
              <w:t>Model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2"/>
                <w:szCs w:val="22"/>
              </w:rPr>
              <w:t>R²</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shd w:val="clear" w:color="auto" w:fill="d5e8f0"/>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2"/>
                <w:szCs w:val="22"/>
              </w:rPr>
              <w:t>MAE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Lasso Regression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0.78</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0.90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Random Forest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0.84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0.60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SVR (RBF Kernel)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0.84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57" w:type="dxa"/>
            <w:tcBorders>
              <w:top w:color="cccccc" w:sz="1" w:val="single"/>
              <w:start w:color="cccccc" w:sz="1" w:val="single"/>
              <w:bottom w:color="cccccc" w:sz="1" w:val="single"/>
              <w:end w:color="cccccc" w:sz="1"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2"/>
                <w:szCs w:val="22"/>
              </w:rPr>
              <w:t>0.60</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al" w:hAnsi="Arial" w:cs="Arial" w:eastAsia="Arial"/>
          <w:color w:val="000000"/>
          <w:sz w:val="22"/>
          <w:szCs w:val="22"/>
        </w:rPr>
        <w:t>Both non-linear models reduced the prediction error by approximately 33.3%, confirming the inherently non-linear nature of microplastic scattering behavior.</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Based on its predictive performance and robustness to sensor noise, the SVR model with an RBF kernel was selected as the final regression framework.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 xml:space="preserve">COMMENT 15 
</w:t>
      </w:r>
    </w:p>
    <w:p>
      <w:pPr>
        <w:spacing w:after="120" w:before="120" w:line="336" w:lineRule="auto"/>
        <w:ind w:firstLine="0" w:start="0"/>
        <w:jc w:val="start"/>
      </w:pPr>
      <w:r>
        <w:rPr>
          <w:rFonts w:ascii="Arial Bold" w:hAnsi="Arial Bold" w:cs="Arial Bold" w:eastAsia="Arial Bold"/>
          <w:b/>
          <w:bCs/>
          <w:color w:val="000000"/>
          <w:sz w:val="22"/>
          <w:szCs w:val="22"/>
        </w:rPr>
        <w:t>Recent works on a hybrid modelling approach comparing chemical separation technologies (energy / CO2) and 'AuLCA: augmented life cycle assessment for chemical data gaps' should be mentioned in the ML context.</w:t>
      </w:r>
      <w:r>
        <w:rPr>
          <w:rFonts w:ascii="Arial" w:hAnsi="Arial" w:cs="Arial" w:eastAsia="Arial"/>
          <w:color w:val="000000"/>
          <w:sz w:val="22"/>
          <w:szCs w:val="22"/>
        </w:rPr>
        <w:t xml:space="preserve">
</w:t>
      </w:r>
    </w:p>
    <w:p>
      <w:pPr>
        <w:spacing w:after="120" w:before="120" w:line="336" w:lineRule="auto"/>
        <w:ind w:firstLine="0" w:start="0"/>
        <w:jc w:val="start"/>
      </w:pPr>
      <w:r>
        <w:rPr>
          <w:rFonts w:ascii="Arial Bold" w:hAnsi="Arial Bold" w:cs="Arial Bold" w:eastAsia="Arial Bold"/>
          <w:b/>
          <w:bCs/>
          <w:color w:val="000000"/>
          <w:sz w:val="22"/>
          <w:szCs w:val="22"/>
        </w:rPr>
        <w:t>Response:</w:t>
      </w:r>
      <w:r>
        <w:rPr>
          <w:rFonts w:ascii="Arial" w:hAnsi="Arial" w:cs="Arial" w:eastAsia="Arial"/>
          <w:color w:val="000000"/>
          <w:sz w:val="22"/>
          <w:szCs w:val="22"/>
        </w:rPr>
        <w:t xml:space="preserve"> We thank the reviewer for these key literature recommendations. Both papers have been incorporated and discussed in our updated Discussion section. We emphasize how hybrid modeling techniques and data augmentation architectures serve as essential frameworks for filling critical data gaps in chemical and environmental informatics, positioning our localized edge-inference pipeline within broader data-driven chemical monitoring paradigms.
</w:t>
      </w:r>
    </w:p>
    <w:p>
      <w:pPr>
        <w:spacing w:after="120" w:before="120" w:line="336" w:lineRule="auto"/>
        <w:ind w:firstLine="0" w:start="0"/>
        <w:jc w:val="start"/>
      </w:pPr>
      <w:r>
        <w:rPr>
          <w:rFonts w:ascii="Arial" w:hAnsi="Arial" w:cs="Arial" w:eastAsia="Arial"/>
          <w:color w:val="000000"/>
          <w:sz w:val="22"/>
          <w:szCs w:val="22"/>
        </w:rPr>
        <w:t xml:space="preserve">We are confident that these extensive machine learning updates and statistical validations have significantly enhanced the computational rigor of our work. We thank both reviewers for their outstanding and insightful guidance.
</w:t>
      </w:r>
    </w:p>
    <w:p>
      <w:pPr>
        <w:spacing w:after="120" w:before="120" w:line="336" w:lineRule="auto"/>
        <w:ind w:firstLine="0" w:start="0"/>
        <w:jc w:val="start"/>
      </w:pPr>
      <w:r>
        <w:rPr>
          <w:rFonts w:ascii="Arial Bold" w:hAnsi="Arial Bold" w:cs="Arial Bold" w:eastAsia="Arial Bold"/>
          <w:b/>
          <w:bCs/>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Italics">
    <w:panose1 w:val="020B0704020202090204"/>
    <w:charset w:characterSet="1"/>
    <w:embedBoldItalic r:id="rId3"/>
  </w:font>
  <w:font w:name="Arimo Bold">
    <w:panose1 w:val="020B0704020202020204"/>
    <w:charset w:characterSet="1"/>
    <w:embedBold r:id="rId4"/>
  </w:font>
  <w:font w:name="Arial Italics">
    <w:panose1 w:val="020B0604020202090204"/>
    <w:charset w:characterSet="1"/>
  </w:font>
  <w:font w:name="Arial">
    <w:panose1 w:val="020B0604020202020204"/>
    <w:charset w:characterSet="1"/>
  </w:font>
  <w:font w:name="Arial Bold Italics">
    <w:panose1 w:val="020B0704020202090204"/>
    <w:charset w:characterSet="1"/>
  </w:font>
  <w:font w:name="Arial Bold">
    <w:panose1 w:val="020B07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2026-06-30T16:06:11Z</dcterms:created>
  <dc:creator>Apache POI</dc:creator>
  <dc:title>Reviewer_Response.docx</dc:title>
</cp:coreProperties>
</file>