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Requirement</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[eAuto-AATF &amp; BackOffice] eDereg: Enable PBT Organisations as Active eDereg Users</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Version</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Version 0.2</w:t>
            </w:r>
          </w:p>
          <w:p/>
        </w:tc>
      </w:tr>
      <w:tr>
        <w:trPr>
          <w:cantSplit/>
        </w:trPr>
        <w:tc>
          <w:tcPr>
            <w:tcW w:type="dxa" w:w="3823"/>
            <w:tcMar>
              <w:top w:type="dxa" w:w="80"/>
              <w:left w:type="dxa" w:w="120"/>
              <w:bottom w:type="dxa" w:w="80"/>
              <w:right w:type="dxa" w:w="120"/>
            </w:tcMar>
            <w:vAlign w:val="top"/>
          </w:tcPr>
          <w:p>
            <w:pPr>
              <w:spacing w:after="0" w:before="0"/>
            </w:pPr>
            <w:r>
              <w:rPr>
                <w:rFonts w:ascii="Roboto" w:cs="Roboto" w:eastAsia="Roboto" w:hAnsi="Roboto"/>
                <w:sz w:val="24"/>
                <w:szCs w:val="24"/>
              </w:rPr>
              <w:t xml:space="preserve">Latest Revision Date</w:t>
            </w:r>
          </w:p>
          <w:p/>
        </w:tc>
        <w:tc>
          <w:tcPr>
            <w:tcW w:type="dxa" w:w="10135"/>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28.09.2026 (Monday)</w:t>
            </w:r>
          </w:p>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line="276" w:lineRule="auto"/>
      </w:pPr>
      <w:r>
        <w:rPr>
          <w:rFonts w:ascii="Roboto" w:cs="Roboto" w:eastAsia="Roboto" w:hAnsi="Roboto"/>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line="276" w:lineRule="auto"/>
      </w:pPr>
      <w:r>
        <w:rPr>
          <w:rFonts w:ascii="Roboto" w:cs="Roboto" w:eastAsia="Roboto" w:hAnsi="Roboto"/>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line="276" w:lineRule="auto"/>
      </w:pPr>
      <w:r>
        <w:rPr>
          <w:rFonts w:ascii="Roboto" w:cs="Roboto" w:eastAsia="Roboto" w:hAnsi="Roboto"/>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rPr>
              <w:t xml:space="preserve">0.1</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rPr>
              <w:t xml:space="preserve">18.09.2026 (Fri)</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tc>
        <w:tc>
          <w:tcPr>
            <w:tcW w:type="dxa" w:w="32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28.09.2026 (Mon)</w:t>
            </w:r>
          </w:p>
        </w:tc>
        <w:tc>
          <w:tcPr>
            <w:tcW w:type="dxa" w:w="33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Updated Section 2.1 and Section 2.2</w:t>
            </w:r>
          </w:p>
          <w:p>
            <w:pPr>
              <w:spacing w:after="0" w:before="0"/>
            </w:pPr>
            <w:r>
              <w:rPr>
                <w:rFonts w:ascii="Roboto" w:cs="Roboto" w:eastAsia="Roboto" w:hAnsi="Roboto"/>
                <w:sz w:val="24"/>
                <w:szCs w:val="24"/>
                <w:highlight w:val="cyan"/>
              </w:rPr>
              <w:t xml:space="preserve">b. Replaced Section 2.2.4 to Section 2.2.8</w:t>
            </w:r>
          </w:p>
          <w:p>
            <w:pPr>
              <w:spacing w:after="0" w:before="0"/>
            </w:pPr>
            <w:r>
              <w:rPr>
                <w:rFonts w:ascii="Roboto" w:cs="Roboto" w:eastAsia="Roboto" w:hAnsi="Roboto"/>
                <w:sz w:val="24"/>
                <w:szCs w:val="24"/>
                <w:highlight w:val="cyan"/>
              </w:rPr>
              <w:t xml:space="preserve">c. Updated Section 1.5 Associated Document(s)</w:t>
            </w:r>
          </w:p>
        </w:tc>
      </w:tr>
    </w:tbl>
    <w:p>
      <w:pPr>
        <w:spacing w:after="0" w:before="0"/>
      </w:pPr>
      <w:r>
        <w:rPr>
          <w:rFonts w:ascii="Roboto" w:cs="Roboto" w:eastAsia="Roboto" w:hAnsi="Roboto"/>
          <w:i/>
          <w:iCs/>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Pihak Berkuasa Tempatan, the local authority organisation in Malaysia.</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Authorised Automotive Treatment Facility, a facility licensed to treat end-of-life vehicles.</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eDereg</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Electronic deregistration service used to deregister a vehicle.</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KPKT</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Kementerian Pembangunan Kerajaan Tempatan, the reference source for the PBT master list.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DOE</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Department of Environment, the reference source for the licensed AATF listing.</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COD</w:t>
            </w:r>
          </w:p>
          <w:p/>
        </w:tc>
        <w:tc>
          <w:tcPr>
            <w:tcW w:type="dxa" w:w="9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issued after a vehicle is destroyed.</w:t>
            </w:r>
          </w:p>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 — [eAuto-AATF &amp; BackOffice] eDereg: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https://mfservices.atlassian.net/browse/EAINT-12348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Internal IT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EAUTO-1058 — Enhancement for eDereg Module for PBT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https://mfservices.atlassian.net/browse/EAUTO-1058</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Source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CCB-956 — EAUTO | To Enable PBT Organisations as Active eDereg Users</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https://mfservices.atlassian.net/browse/CCB-956</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Cross-department ticket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listing published by KPKT</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https://pbtpay.kpkt.gov.my/pbt</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source for the PBT master list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rPr>
              <w:t xml:space="preserve">Licensed AATF listing published by DOE</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rPr>
              <w:t xml:space="preserve">https://www.doe.gov.my/en/list-of-authorized-automotive-treatment-facilities-aatf/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source for the licensed AATF listing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EAINT-12348_eAuto_PBT Portal_20260927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https://claude.ai/artifact/PdzbmthydcG9b3fNpERCZ4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PBT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5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EAINT-12348_eAuto_BackOffice Portal_20260927</w:t>
            </w:r>
          </w:p>
          <w:p/>
        </w:tc>
        <w:tc>
          <w:tcPr>
            <w:tcW w:type="dxa" w:w="4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https://claude.ai/artifact/U24ULKVbcj6yxiJaWkNXmF</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Screen mockup for the BackOffice portal</w:t>
            </w:r>
          </w:p>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Enhancement Overview</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PBT organisation is currently a reference record only. It is selected by an AATF user during deregistration and cannot log in to eDereg.</w:t>
            </w:r>
          </w:p>
          <w:p/>
          <w:p>
            <w:pPr>
              <w:spacing w:after="0" w:before="0"/>
            </w:pPr>
            <w:r>
              <w:rPr>
                <w:rFonts w:ascii="Roboto" w:cs="Roboto" w:eastAsia="Roboto" w:hAnsi="Roboto"/>
                <w:sz w:val="24"/>
                <w:szCs w:val="24"/>
                <w:highlight w:val="cyan"/>
              </w:rPr>
              <w:t xml:space="preserve">Extend a PBT organisation to an eDereg user that logs in and creates deregistration transactions in the same way as an AATF user.</w:t>
            </w:r>
          </w:p>
          <w:p/>
          <w:p>
            <w:pPr>
              <w:spacing w:after="0" w:before="0"/>
            </w:pPr>
            <w:r>
              <w:rPr>
                <w:rFonts w:ascii="Roboto" w:cs="Roboto" w:eastAsia="Roboto" w:hAnsi="Roboto"/>
                <w:sz w:val="24"/>
                <w:szCs w:val="24"/>
                <w:highlight w:val="cyan"/>
              </w:rPr>
              <w:t xml:space="preserve">The existing AATF operating flow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Key Value(s) Expected</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 PBT organisations create deregistration transactions directly instead of going through an AATF.</w:t>
            </w:r>
          </w:p>
          <w:p/>
          <w:p>
            <w:pPr>
              <w:spacing w:after="0" w:before="0"/>
            </w:pPr>
            <w:r>
              <w:rPr>
                <w:rFonts w:ascii="Roboto" w:cs="Roboto" w:eastAsia="Roboto" w:hAnsi="Roboto"/>
                <w:sz w:val="24"/>
                <w:szCs w:val="24"/>
                <w:highlight w:val="cyan"/>
              </w:rPr>
              <w:t xml:space="preserve">2. PBT transactions are distinguished from AATF transactions by a dedicated running number.</w:t>
            </w:r>
          </w:p>
          <w:p/>
          <w:p>
            <w:pPr>
              <w:spacing w:after="0" w:before="0"/>
            </w:pPr>
            <w:r>
              <w:rPr>
                <w:rFonts w:ascii="Roboto" w:cs="Roboto" w:eastAsia="Roboto" w:hAnsi="Roboto"/>
                <w:sz w:val="24"/>
                <w:szCs w:val="24"/>
                <w:highlight w:val="cyan"/>
              </w:rPr>
              <w:t xml:space="preserve">3. PBT onboarding is controlled through the BackOffice.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Note(s)</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master list is sourced from the KPKT listing and provided by the requestor.</w:t>
            </w:r>
          </w:p>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Existing AATF company accounts, deregistration transactions and running number sequence remain unchanged.</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PBT uses the same payment method as an AATF. The PBT creates its own RHB bank account, as confirmed by Operations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PBT follows the same deregistration transaction flow as an AATF unless stated otherwise in this document.</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master list is provided by the requestor and maintained by the business team.</w:t>
            </w:r>
          </w:p>
          <w:p/>
        </w:tc>
      </w:tr>
      <w:tr>
        <w:trPr>
          <w:cantSplit/>
        </w:trPr>
        <w:tc>
          <w:tcPr>
            <w:tcW w:type="dxa" w:w="9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130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PBT company account is created by an authorised BackOffice user.</w:t>
            </w:r>
          </w:p>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End-to-end UI/UX revamp of the eDereg Portal</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Covered under EAINT-12252.</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Making eDereg Pre-Checking a compulsory step</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Covered under EAINT-9306.</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Changes to JPJ integration rules, eDereg fees and payment flow</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No change required for this enhancement.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60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Migration of existing PBT records held under the AATF function</w:t>
            </w:r>
          </w:p>
          <w:p/>
        </w:tc>
        <w:tc>
          <w:tcPr>
            <w:tcW w:type="dxa" w:w="71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To be confirmed with requestor before development starts.</w:t>
            </w:r>
          </w:p>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line="276" w:lineRule="auto"/>
      </w:pPr>
      <w:r>
        <w:rPr>
          <w:rFonts w:ascii="Roboto" w:cs="Roboto" w:eastAsia="Roboto" w:hAnsi="Roboto"/>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Project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eAuto</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Portal</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AATF Portal</w:t>
            </w:r>
          </w:p>
          <w:p>
            <w:pPr>
              <w:spacing w:after="0" w:before="0"/>
            </w:pPr>
            <w:r>
              <w:rPr>
                <w:rFonts w:ascii="Roboto" w:cs="Roboto" w:eastAsia="Roboto" w:hAnsi="Roboto"/>
                <w:sz w:val="24"/>
                <w:szCs w:val="24"/>
              </w:rPr>
              <w:t xml:space="preserve">2.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Module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(eDereg)</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Request</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Enable a PBT organisation to log in to eDereg and create deregistration transactions in the same way as an AATF organisation.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Additional Note</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rPr>
              <w:t xml:space="preserve">1. Business scope is expanding to include PBT users. Existing PBT company type only supports listing of PBT names within the AATF function and cannot create an operational PBT user account.</w:t>
            </w:r>
          </w:p>
          <w:p/>
          <w:p>
            <w:pPr>
              <w:spacing w:after="0" w:before="0"/>
            </w:pPr>
            <w:r>
              <w:rPr>
                <w:rFonts w:ascii="Roboto" w:cs="Roboto" w:eastAsia="Roboto" w:hAnsi="Roboto"/>
                <w:sz w:val="24"/>
                <w:szCs w:val="24"/>
              </w:rPr>
              <w:t xml:space="preserve">2. PBT master list reference: https://pbtpay.kpkt.gov.my/pbt</w:t>
            </w:r>
          </w:p>
          <w:p/>
          <w:p>
            <w:pPr>
              <w:spacing w:after="0" w:before="0"/>
            </w:pPr>
            <w:r>
              <w:rPr>
                <w:rFonts w:ascii="Roboto" w:cs="Roboto" w:eastAsia="Roboto" w:hAnsi="Roboto"/>
                <w:sz w:val="24"/>
                <w:szCs w:val="24"/>
              </w:rPr>
              <w:t xml:space="preserve">3. Licensed AATF list reference: https://www.doe.gov.my/en/list-of-authorized-automotive-treatment-facilities-aatf/</w:t>
            </w:r>
          </w:p>
          <w:p/>
          <w:p>
            <w:pPr>
              <w:spacing w:after="0" w:before="0"/>
            </w:pPr>
            <w:r>
              <w:rPr>
                <w:rFonts w:ascii="Roboto" w:cs="Roboto" w:eastAsia="Roboto" w:hAnsi="Roboto"/>
                <w:sz w:val="24"/>
                <w:szCs w:val="24"/>
              </w:rPr>
              <w:t xml:space="preserve">4. PBT master list file is attached to this ticket.</w:t>
            </w:r>
          </w:p>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Existing Issue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 Company Type in Manage AATF/PBT Account already provides an AATF option and a PBT option.</w:t>
            </w:r>
          </w:p>
          <w:p/>
          <w:p>
            <w:pPr>
              <w:spacing w:after="0" w:before="0"/>
            </w:pPr>
            <w:r>
              <w:rPr>
                <w:rFonts w:ascii="Roboto" w:cs="Roboto" w:eastAsia="Roboto" w:hAnsi="Roboto"/>
                <w:sz w:val="24"/>
                <w:szCs w:val="24"/>
                <w:highlight w:val="cyan"/>
              </w:rPr>
              <w:t xml:space="preserve">2. A PBT record is used only as a reference. The AATF user selects the PBT at Step 2 of the deregistration transaction creation flow.</w:t>
            </w:r>
          </w:p>
          <w:p/>
          <w:p>
            <w:pPr>
              <w:spacing w:after="0" w:before="0"/>
            </w:pPr>
            <w:r>
              <w:rPr>
                <w:rFonts w:ascii="Roboto" w:cs="Roboto" w:eastAsia="Roboto" w:hAnsi="Roboto"/>
                <w:sz w:val="24"/>
                <w:szCs w:val="24"/>
                <w:highlight w:val="cyan"/>
              </w:rPr>
              <w:t xml:space="preserve">3. A PBT is not able to log in to the eDereg Portal and is not able to create a deregistration transaction.</w:t>
            </w:r>
          </w:p>
          <w:p/>
          <w:p>
            <w:pPr>
              <w:spacing w:after="0" w:before="0"/>
            </w:pPr>
            <w:r>
              <w:rPr>
                <w:rFonts w:ascii="Roboto" w:cs="Roboto" w:eastAsia="Roboto" w:hAnsi="Roboto"/>
                <w:sz w:val="24"/>
                <w:szCs w:val="24"/>
                <w:highlight w:val="cyan"/>
              </w:rPr>
              <w:t xml:space="preserve">4. Deregistration transactions carry a single running number in the format D690000638.</w:t>
            </w:r>
          </w:p>
          <w:p/>
          <w:p>
            <w:pPr>
              <w:spacing w:after="0" w:before="0"/>
            </w:pPr>
            <w:r>
              <w:rPr>
                <w:rFonts w:ascii="Roboto" w:cs="Roboto" w:eastAsia="Roboto" w:hAnsi="Roboto"/>
                <w:sz w:val="24"/>
                <w:szCs w:val="24"/>
                <w:highlight w:val="cyan"/>
              </w:rPr>
              <w:t xml:space="preserve">5. PBT Shortform is captured as free text when Company Type is PBT.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4000"/>
            <w:tcMar>
              <w:top w:type="dxa" w:w="80"/>
              <w:left w:type="dxa" w:w="120"/>
              <w:bottom w:type="dxa" w:w="80"/>
              <w:right w:type="dxa" w:w="120"/>
            </w:tcMar>
            <w:vAlign w:val="top"/>
          </w:tcPr>
          <w:p>
            <w:pPr>
              <w:spacing w:after="0" w:before="0"/>
            </w:pPr>
            <w:r>
              <w:rPr>
                <w:rFonts w:ascii="Roboto" w:cs="Roboto" w:eastAsia="Roboto" w:hAnsi="Roboto"/>
                <w:sz w:val="24"/>
                <w:szCs w:val="24"/>
              </w:rPr>
              <w:t xml:space="preserve">Expected New Handling / Behaviour</w:t>
            </w:r>
          </w:p>
          <w:p/>
        </w:tc>
        <w:tc>
          <w:tcPr>
            <w:tcW w:type="dxa" w:w="91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 An authorised BackOffice user creates a PBT company account with login access to the eDereg Portal.</w:t>
            </w:r>
          </w:p>
          <w:p/>
          <w:p>
            <w:pPr>
              <w:spacing w:after="0" w:before="0"/>
            </w:pPr>
            <w:r>
              <w:rPr>
                <w:rFonts w:ascii="Roboto" w:cs="Roboto" w:eastAsia="Roboto" w:hAnsi="Roboto"/>
                <w:sz w:val="24"/>
                <w:szCs w:val="24"/>
                <w:highlight w:val="cyan"/>
              </w:rPr>
              <w:t xml:space="preserve">2. A PBT user logs in and creates deregistration transactions using the same 6 step flow as an AATF user.</w:t>
            </w:r>
          </w:p>
          <w:p/>
          <w:p>
            <w:pPr>
              <w:spacing w:after="0" w:before="0"/>
            </w:pPr>
            <w:r>
              <w:rPr>
                <w:rFonts w:ascii="Roboto" w:cs="Roboto" w:eastAsia="Roboto" w:hAnsi="Roboto"/>
                <w:sz w:val="24"/>
                <w:szCs w:val="24"/>
                <w:highlight w:val="cyan"/>
              </w:rPr>
              <w:t xml:space="preserve">3. A deregistration transaction created by a PBT user receives a running number in the format PBT0000001.</w:t>
            </w:r>
          </w:p>
          <w:p/>
          <w:p>
            <w:pPr>
              <w:spacing w:after="0" w:before="0"/>
            </w:pPr>
            <w:r>
              <w:rPr>
                <w:rFonts w:ascii="Roboto" w:cs="Roboto" w:eastAsia="Roboto" w:hAnsi="Roboto"/>
                <w:sz w:val="24"/>
                <w:szCs w:val="24"/>
                <w:highlight w:val="cyan"/>
              </w:rPr>
              <w:t xml:space="preserve">4. The existing AATF running number sequence in the format D690000638 remains unchanged.</w:t>
            </w:r>
          </w:p>
          <w:p/>
          <w:p>
            <w:pPr>
              <w:spacing w:after="0" w:before="0"/>
            </w:pPr>
            <w:r>
              <w:rPr>
                <w:rFonts w:ascii="Roboto" w:cs="Roboto" w:eastAsia="Roboto" w:hAnsi="Roboto"/>
                <w:sz w:val="24"/>
                <w:szCs w:val="24"/>
                <w:highlight w:val="cyan"/>
              </w:rPr>
              <w:t xml:space="preserve">5. A PBT user views only the deregistration transactions created by that PBT organisation.</w:t>
            </w:r>
          </w:p>
          <w:p/>
          <w:p>
            <w:pPr>
              <w:spacing w:after="0" w:before="0"/>
            </w:pPr>
            <w:r>
              <w:rPr>
                <w:rFonts w:ascii="Roboto" w:cs="Roboto" w:eastAsia="Roboto" w:hAnsi="Roboto"/>
                <w:sz w:val="24"/>
                <w:szCs w:val="24"/>
                <w:highlight w:val="cyan"/>
              </w:rPr>
              <w:t xml:space="preserve">6. A PBT does not hold a company registration number. PBT Shortform is displayed in place of Company Reg. No. in the PBT Portal.</w:t>
            </w:r>
          </w:p>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 Manage AATF/PBT Account (Create New)</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Type = PBT creates an account with login access.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 Manage AATF/PBT Account (Update)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company account is maintained, activated and inactivated.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 Deregistration Transaction Enquiry</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running number and PBT organisation are displayed and searchable.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Login</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 PBT company account logs 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Create Deregistration Transaction (Step 2 Vehicle)</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Organisation is set from the logged-in 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Deregistration Transaction Listing</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Only transactions created by the logged-in PBT account are listed.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45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Portal — Deregistration Transaction Details</w:t>
            </w:r>
          </w:p>
          <w:p/>
        </w:tc>
        <w:tc>
          <w:tcPr>
            <w:tcW w:type="dxa" w:w="8658"/>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details are displayed in place of AATF details.</w:t>
            </w:r>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highlight w:val="cyan"/>
        </w:rPr>
        <w:t xml:space="preserve">2.2.4  BackOffice — Manage AATF/PBT Account</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Account Login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A PBT record is saved as a reference only and is not able to log in to the eDereg Portal.</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Company Type = PBT saves a company account with login access to the eDereg Portal.</w:t>
            </w:r>
          </w:p>
          <w:p/>
          <w:p>
            <w:pPr>
              <w:spacing w:after="0" w:before="0"/>
            </w:pPr>
            <w:r>
              <w:rPr>
                <w:rFonts w:ascii="Roboto" w:cs="Roboto" w:eastAsia="Roboto" w:hAnsi="Roboto"/>
                <w:sz w:val="24"/>
                <w:szCs w:val="24"/>
              </w:rPr>
              <w:t xml:space="preserve">Login ID and Password captured under Director / Owner Details apply to the PBT account.</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Company Type = PBT saved with an active status</w:t>
            </w:r>
          </w:p>
          <w:p/>
          <w:p>
            <w:pPr>
              <w:spacing w:after="0" w:before="0"/>
            </w:pPr>
            <w:r>
              <w:rPr>
                <w:rFonts w:ascii="Roboto" w:cs="Roboto" w:eastAsia="Roboto" w:hAnsi="Roboto"/>
                <w:sz w:val="24"/>
                <w:szCs w:val="24"/>
              </w:rPr>
              <w:t xml:space="preserve">a. The PBT account logs in to the eDereg Portal successfully.</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Company Type = PBT saved with an inactive status</w:t>
            </w:r>
          </w:p>
          <w:p/>
          <w:p>
            <w:pPr>
              <w:spacing w:after="0" w:before="0"/>
            </w:pPr>
            <w:r>
              <w:rPr>
                <w:rFonts w:ascii="Roboto" w:cs="Roboto" w:eastAsia="Roboto" w:hAnsi="Roboto"/>
                <w:sz w:val="24"/>
                <w:szCs w:val="24"/>
              </w:rPr>
              <w:t xml:space="preserve">a. Login is blocked and existing transactions of that account remain unchanged.</w:t>
            </w:r>
          </w:p>
          <w:p/>
          <w:p/>
          <w:p/>
          <w:p>
            <w:pPr>
              <w:spacing w:after="0" w:before="0"/>
            </w:pPr>
            <w:r>
              <w:rPr>
                <w:rFonts w:ascii="Roboto" w:cs="Roboto" w:eastAsia="Roboto" w:hAnsi="Roboto"/>
                <w:b/>
                <w:bCs/>
                <w:sz w:val="24"/>
                <w:szCs w:val="24"/>
              </w:rPr>
              <w:t xml:space="preserve">Example 3: </w:t>
            </w:r>
            <w:r>
              <w:rPr>
                <w:rFonts w:ascii="Roboto" w:cs="Roboto" w:eastAsia="Roboto" w:hAnsi="Roboto"/>
                <w:sz w:val="24"/>
                <w:szCs w:val="24"/>
              </w:rPr>
              <w:t xml:space="preserve">Company Type = AATF</w:t>
            </w:r>
          </w:p>
          <w:p/>
          <w:p>
            <w:pPr>
              <w:spacing w:after="0" w:before="0"/>
            </w:pPr>
            <w:r>
              <w:rPr>
                <w:rFonts w:ascii="Roboto" w:cs="Roboto" w:eastAsia="Roboto" w:hAnsi="Roboto"/>
                <w:sz w:val="24"/>
                <w:szCs w:val="24"/>
              </w:rPr>
              <w:t xml:space="preserve">a. Login behaviour remains exactly as before this enhancement.</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Organisation Name</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Organisation Name is a new mandatory field requested in the source ticket.</w:t>
            </w:r>
          </w:p>
          <w:p/>
          <w:p/>
          <w:p/>
          <w:p>
            <w:pPr>
              <w:spacing w:after="0" w:before="0"/>
            </w:pPr>
            <w:r>
              <w:rPr>
                <w:rFonts w:ascii="Roboto" w:cs="Roboto" w:eastAsia="Roboto" w:hAnsi="Roboto"/>
                <w:sz w:val="24"/>
                <w:szCs w:val="24"/>
                <w:highlight w:val="yellow"/>
              </w:rPr>
              <w:t xml:space="preserve">Field definition, placement and its relationship with the existing PBT Shortform field are pending requestor confirmation.</w:t>
            </w:r>
          </w:p>
          <w:p/>
          <w:p/>
          <w:p/>
          <w:p>
            <w:pPr>
              <w:spacing w:after="0" w:before="0"/>
            </w:pPr>
            <w:r>
              <w:rPr>
                <w:rFonts w:ascii="Roboto" w:cs="Roboto" w:eastAsia="Roboto" w:hAnsi="Roboto"/>
                <w:sz w:val="24"/>
                <w:szCs w:val="24"/>
                <w:highlight w:val="yellow"/>
              </w:rPr>
              <w:t xml:space="preserve">The licensed AATF master list requested in the source ticket is pending requestor confirmation on its purpose and whether it remains in scope.</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 confirmation.</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BackOffice User Access</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Manage AATF/PBT Account is accessed by authorised BackOffice users.</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The following BackOffice users are granted view and access rights to Manage AATF/PBT Account:</w:t>
            </w:r>
          </w:p>
          <w:p/>
          <w:p>
            <w:pPr>
              <w:spacing w:after="0" w:before="0"/>
            </w:pPr>
            <w:r>
              <w:rPr>
                <w:rFonts w:ascii="Roboto" w:cs="Roboto" w:eastAsia="Roboto" w:hAnsi="Roboto"/>
                <w:sz w:val="24"/>
                <w:szCs w:val="24"/>
              </w:rPr>
              <w:t xml:space="preserve">a. eautonurul</w:t>
            </w:r>
          </w:p>
          <w:p/>
          <w:p>
            <w:pPr>
              <w:spacing w:after="0" w:before="0"/>
            </w:pPr>
            <w:r>
              <w:rPr>
                <w:rFonts w:ascii="Roboto" w:cs="Roboto" w:eastAsia="Roboto" w:hAnsi="Roboto"/>
                <w:sz w:val="24"/>
                <w:szCs w:val="24"/>
              </w:rPr>
              <w:t xml:space="preserve">b. nikmuhamad</w:t>
            </w:r>
          </w:p>
          <w:p/>
          <w:p>
            <w:pPr>
              <w:spacing w:after="0" w:before="0"/>
            </w:pPr>
            <w:r>
              <w:rPr>
                <w:rFonts w:ascii="Roboto" w:cs="Roboto" w:eastAsia="Roboto" w:hAnsi="Roboto"/>
                <w:sz w:val="24"/>
                <w:szCs w:val="24"/>
              </w:rPr>
              <w:t xml:space="preserve">c. mfmeijia</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Logged in as eautonurul, nikmuhamad or mfmeijia</w:t>
            </w:r>
          </w:p>
          <w:p/>
          <w:p>
            <w:pPr>
              <w:spacing w:after="0" w:before="0"/>
            </w:pPr>
            <w:r>
              <w:rPr>
                <w:rFonts w:ascii="Roboto" w:cs="Roboto" w:eastAsia="Roboto" w:hAnsi="Roboto"/>
                <w:sz w:val="24"/>
                <w:szCs w:val="24"/>
              </w:rPr>
              <w:t xml:space="preserve">a. Manage AATF/PBT Account is displayed and accessible.</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Logged in as any other BackOffice user</w:t>
            </w:r>
          </w:p>
          <w:p/>
          <w:p>
            <w:pPr>
              <w:spacing w:after="0" w:before="0"/>
            </w:pPr>
            <w:r>
              <w:rPr>
                <w:rFonts w:ascii="Roboto" w:cs="Roboto" w:eastAsia="Roboto" w:hAnsi="Roboto"/>
                <w:sz w:val="24"/>
                <w:szCs w:val="24"/>
              </w:rPr>
              <w:t xml:space="preserve">a. Access remains as before this enhancement.</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4</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EAINT-12348-REQ-004</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Company Type Change After Creation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Company Type is editable on the Update AATF/PBT Company Account page after the account is created.</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Company Type remains editable after the account is created.</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developer advice on whether changing Company Type after creation is to be blocked.</w:t>
            </w:r>
          </w:p>
          <w:p/>
          <w:p/>
          <w:p/>
        </w:tc>
      </w:tr>
    </w:tbl>
    <w:p>
      <w:pPr>
        <w:pStyle w:val="Heading3"/>
        <w:keepNext/>
        <w:pageBreakBefore/>
        <w:spacing w:after="0" w:before="0" w:line="276" w:lineRule="auto"/>
      </w:pPr>
      <w:r>
        <w:rPr>
          <w:rFonts w:ascii="Roboto" w:cs="Roboto" w:eastAsia="Roboto" w:hAnsi="Roboto"/>
          <w:b/>
          <w:bCs/>
          <w:color w:val="0F4761"/>
          <w:highlight w:val="cyan"/>
        </w:rPr>
        <w:t xml:space="preserve">2.2.5  PBT Portal — PBT User Access</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5</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EAINT-12348-REQ-005</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User Login</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The eDereg Portal is accessed by AATF users only.</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An active PBT company account logs in to the eDereg Portal using the same login page as an AATF user.</w:t>
            </w:r>
          </w:p>
          <w:p/>
          <w:p>
            <w:pPr>
              <w:spacing w:after="0" w:before="0"/>
            </w:pPr>
            <w:r>
              <w:rPr>
                <w:rFonts w:ascii="Roboto" w:cs="Roboto" w:eastAsia="Roboto" w:hAnsi="Roboto"/>
                <w:sz w:val="24"/>
                <w:szCs w:val="24"/>
              </w:rPr>
              <w:t xml:space="preserve">A logged-in PBT user accesses the eDereg module, including transaction creation, listing and details.</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Active PBT account with valid credentials</w:t>
            </w:r>
          </w:p>
          <w:p/>
          <w:p>
            <w:pPr>
              <w:spacing w:after="0" w:before="0"/>
            </w:pPr>
            <w:r>
              <w:rPr>
                <w:rFonts w:ascii="Roboto" w:cs="Roboto" w:eastAsia="Roboto" w:hAnsi="Roboto"/>
                <w:sz w:val="24"/>
                <w:szCs w:val="24"/>
              </w:rPr>
              <w:t xml:space="preserve">a. Login succeeds and the eDereg homepage is displayed.</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Inactive PBT account</w:t>
            </w:r>
          </w:p>
          <w:p/>
          <w:p>
            <w:pPr>
              <w:spacing w:after="0" w:before="0"/>
            </w:pPr>
            <w:r>
              <w:rPr>
                <w:rFonts w:ascii="Roboto" w:cs="Roboto" w:eastAsia="Roboto" w:hAnsi="Roboto"/>
                <w:sz w:val="24"/>
                <w:szCs w:val="24"/>
              </w:rPr>
              <w:t xml:space="preserve">a. Login is blocked.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6</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EAINT-12348-REQ-006</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Organisation At Step 2</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PBT / Individu is a dropdown at Step 2 of the deregistration transaction creation flow. The AATF user selects the PBT or selects Individu.</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When the logged-in user is a PBT, PBT Organisation displays that PBT organisation and is not editable.</w:t>
            </w:r>
          </w:p>
          <w:p/>
          <w:p>
            <w:pPr>
              <w:spacing w:after="0" w:before="0"/>
            </w:pPr>
            <w:r>
              <w:rPr>
                <w:rFonts w:ascii="Roboto" w:cs="Roboto" w:eastAsia="Roboto" w:hAnsi="Roboto"/>
                <w:sz w:val="24"/>
                <w:szCs w:val="24"/>
              </w:rPr>
              <w:t xml:space="preserve">When the logged-in user is an AATF, the field remains a dropdown and behaves as before this enhancement.</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PBT user logged in</w:t>
            </w:r>
          </w:p>
          <w:p/>
          <w:p>
            <w:pPr>
              <w:spacing w:after="0" w:before="0"/>
            </w:pPr>
            <w:r>
              <w:rPr>
                <w:rFonts w:ascii="Roboto" w:cs="Roboto" w:eastAsia="Roboto" w:hAnsi="Roboto"/>
                <w:sz w:val="24"/>
                <w:szCs w:val="24"/>
              </w:rPr>
              <w:t xml:space="preserve">a. PBT Organisation displays the logged-in PBT organisation and cannot be changed.</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AATF user logged in</w:t>
            </w:r>
          </w:p>
          <w:p/>
          <w:p>
            <w:pPr>
              <w:spacing w:after="0" w:before="0"/>
            </w:pPr>
            <w:r>
              <w:rPr>
                <w:rFonts w:ascii="Roboto" w:cs="Roboto" w:eastAsia="Roboto" w:hAnsi="Roboto"/>
                <w:sz w:val="24"/>
                <w:szCs w:val="24"/>
              </w:rPr>
              <w:t xml:space="preserve">a. PBT / Individu remains selectable with the existing option list.</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7</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EAINT-12348-REQ-007</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Transaction Listing Scope</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The deregistration transaction listing returns the transactions of the logged-in AATF company account.</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The listing returns only the transactions created by the logged-in account.</w:t>
            </w:r>
          </w:p>
          <w:p/>
          <w:p>
            <w:pPr>
              <w:spacing w:after="0" w:before="0"/>
            </w:pPr>
            <w:r>
              <w:rPr>
                <w:rFonts w:ascii="Roboto" w:cs="Roboto" w:eastAsia="Roboto" w:hAnsi="Roboto"/>
                <w:sz w:val="24"/>
                <w:szCs w:val="24"/>
              </w:rPr>
              <w:t xml:space="preserve">A PBT user views only transactions carrying a PBT running number created by that PBT organisation.</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PBT user logged in</w:t>
            </w:r>
          </w:p>
          <w:p/>
          <w:p>
            <w:pPr>
              <w:spacing w:after="0" w:before="0"/>
            </w:pPr>
            <w:r>
              <w:rPr>
                <w:rFonts w:ascii="Roboto" w:cs="Roboto" w:eastAsia="Roboto" w:hAnsi="Roboto"/>
                <w:sz w:val="24"/>
                <w:szCs w:val="24"/>
              </w:rPr>
              <w:t xml:space="preserve">a. Only transactions created by that PBT organisation are listed.</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AATF user logged in</w:t>
            </w:r>
          </w:p>
          <w:p/>
          <w:p>
            <w:pPr>
              <w:spacing w:after="0" w:before="0"/>
            </w:pPr>
            <w:r>
              <w:rPr>
                <w:rFonts w:ascii="Roboto" w:cs="Roboto" w:eastAsia="Roboto" w:hAnsi="Roboto"/>
                <w:sz w:val="24"/>
                <w:szCs w:val="24"/>
              </w:rPr>
              <w:t xml:space="preserve">a. Only transactions created by that AATF organisation are listed.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8</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EAINT-12348-REQ-008</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Details Display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The deregistration transaction details page displays AATF, Company Reg. No., Company Address and Company Contact No.</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For a transaction created by a PBT user the page displays PBT, PBT Shortform, PBT Address and PBT Contact No.</w:t>
            </w:r>
          </w:p>
          <w:p/>
          <w:p>
            <w:pPr>
              <w:spacing w:after="0" w:before="0"/>
            </w:pPr>
            <w:r>
              <w:rPr>
                <w:rFonts w:ascii="Roboto" w:cs="Roboto" w:eastAsia="Roboto" w:hAnsi="Roboto"/>
                <w:sz w:val="24"/>
                <w:szCs w:val="24"/>
              </w:rPr>
              <w:t xml:space="preserve">A PBT does not hold a company registration number. Company Reg. No. is replaced by PBT Shortform and returns the PBT shortform value.</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Transaction created by a PBT user</w:t>
            </w:r>
          </w:p>
          <w:p/>
          <w:p>
            <w:pPr>
              <w:spacing w:after="0" w:before="0"/>
            </w:pPr>
            <w:r>
              <w:rPr>
                <w:rFonts w:ascii="Roboto" w:cs="Roboto" w:eastAsia="Roboto" w:hAnsi="Roboto"/>
                <w:sz w:val="24"/>
                <w:szCs w:val="24"/>
              </w:rPr>
              <w:t xml:space="preserve">a. PBT Shortform is displayed in place of Company Reg. No.</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Transaction created by an AATF user</w:t>
            </w:r>
          </w:p>
          <w:p/>
          <w:p>
            <w:pPr>
              <w:spacing w:after="0" w:before="0"/>
            </w:pPr>
            <w:r>
              <w:rPr>
                <w:rFonts w:ascii="Roboto" w:cs="Roboto" w:eastAsia="Roboto" w:hAnsi="Roboto"/>
                <w:sz w:val="24"/>
                <w:szCs w:val="24"/>
              </w:rPr>
              <w:t xml:space="preserve">a. Company Reg. No. is displayed as before this enhancement.</w:t>
            </w:r>
          </w:p>
          <w:p/>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highlight w:val="cyan"/>
        </w:rPr>
        <w:t xml:space="preserve">2.2.6  Deregistration Transaction Numbering</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9</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EAINT-12348-REQ-009</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All deregistration transactions carry a single running number in the format D690000638.</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A transaction created by a PBT user receives a running number in the format PBT followed by a 7 digit running number, starting from PBT0000001.</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First transaction created by a PBT user</w:t>
            </w:r>
          </w:p>
          <w:p/>
          <w:p>
            <w:pPr>
              <w:spacing w:after="0" w:before="0"/>
            </w:pPr>
            <w:r>
              <w:rPr>
                <w:rFonts w:ascii="Roboto" w:cs="Roboto" w:eastAsia="Roboto" w:hAnsi="Roboto"/>
                <w:sz w:val="24"/>
                <w:szCs w:val="24"/>
              </w:rPr>
              <w:t xml:space="preserve">a. Transaction reference is PBT0000001.</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Subsequent transactions created by a PBT user</w:t>
            </w:r>
          </w:p>
          <w:p/>
          <w:p>
            <w:pPr>
              <w:spacing w:after="0" w:before="0"/>
            </w:pPr>
            <w:r>
              <w:rPr>
                <w:rFonts w:ascii="Roboto" w:cs="Roboto" w:eastAsia="Roboto" w:hAnsi="Roboto"/>
                <w:sz w:val="24"/>
                <w:szCs w:val="24"/>
              </w:rPr>
              <w:t xml:space="preserve">a. Transaction references run in sequence as PBT0000002, PBT0000003 and onward.</w:t>
            </w:r>
          </w:p>
          <w:p/>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10</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EAINT-12348-REQ-010</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AATF Running Number</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AATF transactions carry a running number in the format D followed by a 9 digit running number.</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The AATF running number sequence continues without reset or change.</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rPr>
              <w:t xml:space="preserve">An AATF transaction created after this enhancement continues the existing D690000638 sequence.</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11</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EAINT-12348-REQ-011</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Reference Display And Search</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The transaction reference is displayed in the transaction listing and transaction details and is searchable by Transaction No.</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A PBT running number is displayed and searchable in the same fields in both the PBT Portal and the BackOffice Portal.</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Example 1: </w:t>
            </w:r>
            <w:r>
              <w:rPr>
                <w:rFonts w:ascii="Roboto" w:cs="Roboto" w:eastAsia="Roboto" w:hAnsi="Roboto"/>
                <w:sz w:val="24"/>
                <w:szCs w:val="24"/>
              </w:rPr>
              <w:t xml:space="preserve">Search by a PBT reference number</w:t>
            </w:r>
          </w:p>
          <w:p/>
          <w:p>
            <w:pPr>
              <w:spacing w:after="0" w:before="0"/>
            </w:pPr>
            <w:r>
              <w:rPr>
                <w:rFonts w:ascii="Roboto" w:cs="Roboto" w:eastAsia="Roboto" w:hAnsi="Roboto"/>
                <w:sz w:val="24"/>
                <w:szCs w:val="24"/>
              </w:rPr>
              <w:t xml:space="preserve">a. The matching transaction is returned in the listing.</w:t>
            </w:r>
          </w:p>
          <w:p/>
          <w:p/>
          <w:p/>
          <w:p>
            <w:pPr>
              <w:spacing w:after="0" w:before="0"/>
            </w:pPr>
            <w:r>
              <w:rPr>
                <w:rFonts w:ascii="Roboto" w:cs="Roboto" w:eastAsia="Roboto" w:hAnsi="Roboto"/>
                <w:b/>
                <w:bCs/>
                <w:sz w:val="24"/>
                <w:szCs w:val="24"/>
              </w:rPr>
              <w:t xml:space="preserve">Example 2: </w:t>
            </w:r>
            <w:r>
              <w:rPr>
                <w:rFonts w:ascii="Roboto" w:cs="Roboto" w:eastAsia="Roboto" w:hAnsi="Roboto"/>
                <w:sz w:val="24"/>
                <w:szCs w:val="24"/>
              </w:rPr>
              <w:t xml:space="preserve">Search by an AATF reference number</w:t>
            </w:r>
          </w:p>
          <w:p/>
          <w:p>
            <w:pPr>
              <w:spacing w:after="0" w:before="0"/>
            </w:pPr>
            <w:r>
              <w:rPr>
                <w:rFonts w:ascii="Roboto" w:cs="Roboto" w:eastAsia="Roboto" w:hAnsi="Roboto"/>
                <w:sz w:val="24"/>
                <w:szCs w:val="24"/>
              </w:rPr>
              <w:t xml:space="preserve">a. The matching transaction is returned as before this enhancement.</w:t>
            </w:r>
          </w:p>
          <w:p/>
          <w:p/>
          <w:p/>
        </w:tc>
      </w:tr>
    </w:tbl>
    <w:p>
      <w:pPr>
        <w:pStyle w:val="Heading3"/>
        <w:keepNext/>
        <w:pageBreakBefore/>
        <w:spacing w:after="0" w:before="0" w:line="276" w:lineRule="auto"/>
      </w:pPr>
      <w:r>
        <w:rPr>
          <w:rFonts w:ascii="Roboto" w:cs="Roboto" w:eastAsia="Roboto" w:hAnsi="Roboto"/>
          <w:b/>
          <w:bCs/>
          <w:color w:val="0F4761"/>
          <w:highlight w:val="cyan"/>
        </w:rPr>
        <w:t xml:space="preserve">2.2.7  BackOffice — Deregistration Transaction Enquiry</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EAINT-12348-REQ-012</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PBT Transaction Enquiry</w:t>
            </w:r>
          </w:p>
          <w:p/>
        </w:tc>
        <w:tc>
          <w:tcPr>
            <w:tcW w:type="dxa" w:w="4200"/>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Existing:</w:t>
            </w:r>
          </w:p>
          <w:p/>
          <w:p>
            <w:pPr>
              <w:spacing w:after="0" w:before="0"/>
            </w:pPr>
            <w:r>
              <w:rPr>
                <w:rFonts w:ascii="Roboto" w:cs="Roboto" w:eastAsia="Roboto" w:hAnsi="Roboto"/>
                <w:sz w:val="24"/>
                <w:szCs w:val="24"/>
              </w:rPr>
              <w:t xml:space="preserve">The enquiry page provides a PBT filter that returns transactions where the AATF user selected that PBT at Step 2.</w:t>
            </w:r>
          </w:p>
          <w:p/>
          <w:p>
            <w:pPr>
              <w:spacing w:after="0" w:before="0"/>
            </w:pPr>
            <w:r>
              <w:rPr>
                <w:rFonts w:ascii="Roboto" w:cs="Roboto" w:eastAsia="Roboto" w:hAnsi="Roboto"/>
                <w:sz w:val="24"/>
                <w:szCs w:val="24"/>
              </w:rPr>
              <w:t xml:space="preserve">Category Type provides All, Individu and PBT.</w:t>
            </w:r>
          </w:p>
          <w:p/>
          <w:p/>
          <w:p/>
          <w:p>
            <w:pPr>
              <w:spacing w:after="0" w:before="0"/>
            </w:pPr>
            <w:r>
              <w:rPr>
                <w:rFonts w:ascii="Roboto" w:cs="Roboto" w:eastAsia="Roboto" w:hAnsi="Roboto"/>
                <w:b/>
                <w:bCs/>
                <w:sz w:val="24"/>
                <w:szCs w:val="24"/>
              </w:rPr>
              <w:t xml:space="preserve">New Expected:</w:t>
            </w:r>
          </w:p>
          <w:p/>
          <w:p>
            <w:pPr>
              <w:spacing w:after="0" w:before="0"/>
            </w:pPr>
            <w:r>
              <w:rPr>
                <w:rFonts w:ascii="Roboto" w:cs="Roboto" w:eastAsia="Roboto" w:hAnsi="Roboto"/>
                <w:sz w:val="24"/>
                <w:szCs w:val="24"/>
              </w:rPr>
              <w:t xml:space="preserve">The PBT filter also returns transactions created by a PBT user.</w:t>
            </w:r>
          </w:p>
          <w:p/>
          <w:p>
            <w:pPr>
              <w:spacing w:after="0" w:before="0"/>
            </w:pPr>
            <w:r>
              <w:rPr>
                <w:rFonts w:ascii="Roboto" w:cs="Roboto" w:eastAsia="Roboto" w:hAnsi="Roboto"/>
                <w:sz w:val="24"/>
                <w:szCs w:val="24"/>
              </w:rPr>
              <w:t xml:space="preserve">Category Type distinguishes a transaction where the PBT was selected by an AATF user from a transaction created by a PBT user.</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Category Type option labels are pending requestor confirmation.</w:t>
            </w:r>
          </w:p>
          <w:p/>
          <w:p/>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highlight w:val="cyan"/>
        </w:rPr>
        <w:t xml:space="preserve">2.2.8  Certificate of Destruction</w:t>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rPr>
              <w:t xml:space="preserve">13</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rPr>
              <w:t xml:space="preserve">EAINT-12348-REQ-013</w:t>
            </w:r>
          </w:p>
          <w:p/>
        </w:tc>
        <w:tc>
          <w:tcPr>
            <w:tcW w:type="dxa" w:w="1900"/>
            <w:tcMar>
              <w:top w:type="dxa" w:w="80"/>
              <w:left w:type="dxa" w:w="120"/>
              <w:bottom w:type="dxa" w:w="80"/>
              <w:right w:type="dxa" w:w="120"/>
            </w:tcMar>
            <w:vAlign w:val="top"/>
          </w:tcPr>
          <w:p>
            <w:pPr>
              <w:spacing w:after="0" w:before="0"/>
            </w:pPr>
            <w:r>
              <w:rPr>
                <w:rFonts w:ascii="Roboto" w:cs="Roboto" w:eastAsia="Roboto" w:hAnsi="Roboto"/>
                <w:sz w:val="24"/>
                <w:szCs w:val="24"/>
              </w:rPr>
              <w:t xml:space="preserve">Certificate Of Destruction</w:t>
            </w:r>
          </w:p>
          <w:p/>
        </w:tc>
        <w:tc>
          <w:tcPr>
            <w:tcW w:type="dxa" w:w="4200"/>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The deregistration transaction details page holds a COD document button, an Authorised Representative (Uploaded COD) block covering Name, MyKad No, Mobile No, Vehicle Destruction Date and COD Uploaded on, and a JPJ COD Submission entry.</w:t>
            </w:r>
          </w:p>
          <w:p/>
          <w:p/>
          <w:p/>
          <w:p>
            <w:pPr>
              <w:spacing w:after="0" w:before="0"/>
            </w:pPr>
            <w:r>
              <w:rPr>
                <w:rFonts w:ascii="Roboto" w:cs="Roboto" w:eastAsia="Roboto" w:hAnsi="Roboto"/>
                <w:sz w:val="24"/>
                <w:szCs w:val="24"/>
                <w:highlight w:val="yellow"/>
              </w:rPr>
              <w:t xml:space="preserve">The COD flow for a PBT user is pending requestor confirmation.</w:t>
            </w:r>
          </w:p>
          <w:p/>
          <w:p/>
          <w:p/>
        </w:tc>
        <w:tc>
          <w:tcPr>
            <w:tcW w:type="dxa" w:w="4658"/>
            <w:tcMar>
              <w:top w:type="dxa" w:w="80"/>
              <w:left w:type="dxa" w:w="120"/>
              <w:bottom w:type="dxa" w:w="80"/>
              <w:right w:type="dxa" w:w="120"/>
            </w:tcMar>
            <w:vAlign w:val="top"/>
          </w:tcPr>
          <w:p>
            <w:pPr>
              <w:spacing w:after="0" w:before="0"/>
            </w:pPr>
            <w:r>
              <w:rPr>
                <w:rFonts w:ascii="Roboto" w:cs="Roboto" w:eastAsia="Roboto" w:hAnsi="Roboto"/>
                <w:sz w:val="24"/>
                <w:szCs w:val="24"/>
                <w:highlight w:val="yellow"/>
              </w:rPr>
              <w:t xml:space="preserve">Pending requestor confirmation.</w:t>
            </w:r>
          </w:p>
          <w:p/>
          <w:p/>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p>
      <w:pPr>
        <w:spacing w:after="0" w:before="0"/>
      </w:pPr>
      <w:r>
        <w:rPr>
          <w:rFonts w:ascii="Roboto" w:cs="Roboto" w:eastAsia="Roboto" w:hAnsi="Roboto"/>
          <w:sz w:val="24"/>
          <w:szCs w:val="24"/>
        </w:rPr>
        <w:t xml:space="preserve"/>
      </w:r>
    </w:p>
    <w:tbl>
      <w:tblPr>
        <w:tblW w:type="dxa" w:w="13958"/>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pPr>
            <w:r>
              <w:rPr>
                <w:rFonts w:ascii="Roboto" w:cs="Roboto" w:eastAsia="Roboto" w:hAnsi="Roboto"/>
                <w:b/>
                <w:bCs/>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account with login access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Organisation Name pending requestor confirmation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BackOffice user access to Manage AATF/PBT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4</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EAINT-12348-REQ-004</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Company Type change after account creation</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5</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EAINT-12348-REQ-005</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user login to the eDereg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6</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EAINT-12348-REQ-006</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Organisation set from the logged-in PBT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7</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EAINT-12348-REQ-007</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Transaction listing scoped to the logged-in account</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8</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EAINT-12348-REQ-008</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details displayed in place of AATF details</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9</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EAINT-12348-REQ-009</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Dedicated PBT running number</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10</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EAINT-12348-REQ-010</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AATF running number remains unchanged</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11</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EAINT-12348-REQ-011</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reference display and search</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12</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EAINT-12348-REQ-012</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PBT transaction enquiry in the BackOffice Portal</w:t>
            </w:r>
          </w:p>
          <w:p/>
        </w:tc>
      </w:tr>
      <w:tr>
        <w:trPr>
          <w:cantSplit/>
        </w:trPr>
        <w:tc>
          <w:tcPr>
            <w:tcW w:type="dxa" w:w="8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13</w:t>
            </w:r>
          </w:p>
          <w:p/>
        </w:tc>
        <w:tc>
          <w:tcPr>
            <w:tcW w:type="dxa" w:w="21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0.2</w:t>
            </w:r>
          </w:p>
          <w:p/>
        </w:tc>
        <w:tc>
          <w:tcPr>
            <w:tcW w:type="dxa" w:w="2400"/>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EAINT-12348-REQ-013</w:t>
            </w:r>
          </w:p>
          <w:p/>
        </w:tc>
        <w:tc>
          <w:tcPr>
            <w:tcW w:type="dxa" w:w="1276"/>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Added</w:t>
            </w:r>
          </w:p>
          <w:p/>
        </w:tc>
        <w:tc>
          <w:tcPr>
            <w:tcW w:type="dxa" w:w="7382"/>
            <w:tcMar>
              <w:top w:type="dxa" w:w="80"/>
              <w:left w:type="dxa" w:w="120"/>
              <w:bottom w:type="dxa" w:w="80"/>
              <w:right w:type="dxa" w:w="120"/>
            </w:tcMar>
            <w:vAlign w:val="top"/>
          </w:tcPr>
          <w:p>
            <w:pPr>
              <w:spacing w:after="0" w:before="0"/>
            </w:pPr>
            <w:r>
              <w:rPr>
                <w:rFonts w:ascii="Roboto" w:cs="Roboto" w:eastAsia="Roboto" w:hAnsi="Roboto"/>
                <w:sz w:val="24"/>
                <w:szCs w:val="24"/>
                <w:highlight w:val="cyan"/>
              </w:rPr>
              <w:t xml:space="preserve">Certificate of Destruction pending requestor confirmation</w:t>
            </w:r>
          </w:p>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 w:type="table" w:styleId="TableGrid">
    <w:name w:val="Table Grid"/>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2026-09-27T06:50:00.384Z</dcterms:created>
  <dcterms:modified xsi:type="dcterms:W3CDTF">2026-09-27T06:50:00.402Z</dcterms:modified>
</cp:coreProperties>
</file>

<file path=docProps/custom.xml><?xml version="1.0" encoding="utf-8"?>
<Properties xmlns="http://schemas.openxmlformats.org/officeDocument/2006/custom-properties" xmlns:vt="http://schemas.openxmlformats.org/officeDocument/2006/docPropsVTypes"/>
</file>