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0.7</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14.10.2026 (Wednesday)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rPr>
              <w:t xml:space="preserve">b. Added Master List Data Import, Mandatory Field Completion and TIN Number in Section 2.2.4</w:t>
            </w:r>
          </w:p>
          <w:p>
            <w:pPr>
              <w:spacing w:after="0" w:before="0"/>
            </w:pPr>
            <w:r>
              <w:rPr>
                <w:rFonts w:ascii="Roboto" w:cs="Roboto" w:eastAsia="Roboto" w:hAnsi="Roboto"/>
                <w:sz w:val="24"/>
                <w:szCs w:val="24"/>
              </w:rPr>
              <w:t xml:space="preserve">c. Added eDereg flow access, PBT filter and JPJ Submission Identifier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08.10.2026 (Thu)</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the transaction number format, RHB Payment ID and RHB Payment Information in Section 2.2.6</w:t>
            </w:r>
          </w:p>
          <w:p>
            <w:pPr>
              <w:spacing w:after="0" w:before="0"/>
            </w:pPr>
            <w:r>
              <w:rPr>
                <w:rFonts w:ascii="Roboto" w:cs="Roboto" w:eastAsia="Roboto" w:hAnsi="Roboto"/>
                <w:sz w:val="24"/>
                <w:szCs w:val="24"/>
              </w:rPr>
              <w:t xml:space="preserve">b. Added Invoice and e-Invoice in Section 2.2.9</w:t>
            </w:r>
          </w:p>
          <w:p>
            <w:pPr>
              <w:spacing w:after="0" w:before="0"/>
            </w:pPr>
            <w:r>
              <w:rPr>
                <w:rFonts w:ascii="Roboto" w:cs="Roboto" w:eastAsia="Roboto" w:hAnsi="Roboto"/>
                <w:sz w:val="24"/>
                <w:szCs w:val="24"/>
              </w:rPr>
              <w:t xml:space="preserve">c. Updated Section 1.5, Section 2.1.2 and Section 2.2.3</w:t>
            </w:r>
          </w:p>
          <w:p>
            <w:pPr>
              <w:spacing w:after="0" w:before="0"/>
            </w:pPr>
            <w:r>
              <w:rPr>
                <w:rFonts w:ascii="Roboto" w:cs="Roboto" w:eastAsia="Roboto" w:hAnsi="Roboto"/>
                <w:sz w:val="24"/>
                <w:szCs w:val="24"/>
              </w:rPr>
              <w:t xml:space="preserve">d. Added Pre-Checking Email, updated Company Type and TIN Number in Section 2.2.4</w:t>
            </w:r>
          </w:p>
          <w:p>
            <w:pPr>
              <w:spacing w:after="0" w:before="0"/>
            </w:pPr>
            <w:r>
              <w:rPr>
                <w:rFonts w:ascii="Roboto" w:cs="Roboto" w:eastAsia="Roboto" w:hAnsi="Roboto"/>
                <w:sz w:val="24"/>
                <w:szCs w:val="24"/>
              </w:rPr>
              <w:t xml:space="preserve">e. Updated JPJ Submission Identifier in Section 2.2.5</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09.10.2026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BackOffice User Access, Master List Data Import and Pre-Checking Email, and added PBT Account Form Fields in Section 2.2.4</w:t>
            </w:r>
          </w:p>
          <w:p>
            <w:pPr>
              <w:spacing w:after="0" w:before="0"/>
            </w:pPr>
            <w:r>
              <w:rPr>
                <w:rFonts w:ascii="Roboto" w:cs="Roboto" w:eastAsia="Roboto" w:hAnsi="Roboto"/>
                <w:sz w:val="24"/>
                <w:szCs w:val="24"/>
              </w:rPr>
              <w:t xml:space="preserve">b. Updated PBT / Individu, Step 5 Payment Summary and Transaction Listing Scope in Section 2.2.5</w:t>
            </w:r>
          </w:p>
          <w:p>
            <w:pPr>
              <w:spacing w:after="0" w:before="0"/>
            </w:pPr>
            <w:r>
              <w:rPr>
                <w:rFonts w:ascii="Roboto" w:cs="Roboto" w:eastAsia="Roboto" w:hAnsi="Roboto"/>
                <w:sz w:val="24"/>
                <w:szCs w:val="24"/>
              </w:rPr>
              <w:t xml:space="preserve">c. Updated JPJ Submission Identifier and added Section 2.2.5.1 to Section 2.2.5.3 for submission to JPJ</w:t>
            </w:r>
          </w:p>
          <w:p>
            <w:pPr>
              <w:spacing w:after="0" w:before="0"/>
            </w:pPr>
            <w:r>
              <w:rPr>
                <w:rFonts w:ascii="Roboto" w:cs="Roboto" w:eastAsia="Roboto" w:hAnsi="Roboto"/>
                <w:sz w:val="24"/>
                <w:szCs w:val="24"/>
              </w:rPr>
              <w:t xml:space="preserve">d. Updated RHB Payment ID in Section 2.2.6</w:t>
            </w:r>
          </w:p>
          <w:p>
            <w:pPr>
              <w:spacing w:after="0" w:before="0"/>
            </w:pPr>
            <w:r>
              <w:rPr>
                <w:rFonts w:ascii="Roboto" w:cs="Roboto" w:eastAsia="Roboto" w:hAnsi="Roboto"/>
                <w:sz w:val="24"/>
                <w:szCs w:val="24"/>
              </w:rPr>
              <w:t xml:space="preserve">e. Updated Section 2.2.7, Section 2.2.8 and Invoice and e-Invoice in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Master List Data Import, PBT Account Form Fields and TIN Number of MAJLIS BANDARAYA PULAU PINANG in Section 2.2.4</w:t>
            </w:r>
          </w:p>
          <w:p>
            <w:pPr>
              <w:spacing w:after="0" w:before="0"/>
            </w:pPr>
            <w:r>
              <w:rPr>
                <w:rFonts w:ascii="Roboto" w:cs="Roboto" w:eastAsia="Roboto" w:hAnsi="Roboto"/>
                <w:sz w:val="24"/>
                <w:szCs w:val="24"/>
              </w:rPr>
              <w:t xml:space="preserve">b. Updated eDereg Flow Access, Standard Payment Summary At Step 5 and JPJ Submission Identifier in Section 2.2.5</w:t>
            </w:r>
          </w:p>
          <w:p>
            <w:pPr>
              <w:spacing w:after="0" w:before="0"/>
            </w:pPr>
            <w:r>
              <w:rPr>
                <w:rFonts w:ascii="Roboto" w:cs="Roboto" w:eastAsia="Roboto" w:hAnsi="Roboto"/>
                <w:sz w:val="24"/>
                <w:szCs w:val="24"/>
              </w:rPr>
              <w:t xml:space="preserve">c. Added Section 2.2.5.4 and updated Section 2.2.5.3</w:t>
            </w:r>
          </w:p>
          <w:p>
            <w:pPr>
              <w:spacing w:after="0" w:before="0"/>
            </w:pPr>
            <w:r>
              <w:rPr>
                <w:rFonts w:ascii="Roboto" w:cs="Roboto" w:eastAsia="Roboto" w:hAnsi="Roboto"/>
                <w:sz w:val="24"/>
                <w:szCs w:val="24"/>
              </w:rPr>
              <w:t xml:space="preserve">d. Updated RHB Payment ID and RHB Payment Information in Section 2.2.6 and Section 2.2.6.1</w:t>
            </w:r>
          </w:p>
          <w:p>
            <w:pPr>
              <w:spacing w:after="0" w:before="0"/>
            </w:pPr>
            <w:r>
              <w:rPr>
                <w:rFonts w:ascii="Roboto" w:cs="Roboto" w:eastAsia="Roboto" w:hAnsi="Roboto"/>
                <w:sz w:val="24"/>
                <w:szCs w:val="24"/>
              </w:rPr>
              <w:t xml:space="preserve">e. Updated Section 1.5, Section 2.2.2, Section 2.2.3, Section 2.2.8 and Invoice and e-Invoice in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PBT Account Form Fields in Section 2.2.4 and JPJ Submission Identifier in Section 2.2.5</w:t>
            </w:r>
          </w:p>
          <w:p>
            <w:pPr>
              <w:spacing w:after="0" w:before="0"/>
            </w:pPr>
            <w:r>
              <w:rPr>
                <w:rFonts w:ascii="Roboto" w:cs="Roboto" w:eastAsia="Roboto" w:hAnsi="Roboto"/>
                <w:sz w:val="24"/>
                <w:szCs w:val="24"/>
                <w:highlight w:val="cyan"/>
              </w:rPr>
              <w:t xml:space="preserve">b. Updated eDereg Pre-Checking Submission to JPJ in Section 2.2.5.3 and PBT Shortform in Section 2.2.5.4</w:t>
            </w:r>
          </w:p>
          <w:p>
            <w:pPr>
              <w:spacing w:after="0" w:before="0"/>
            </w:pPr>
            <w:r>
              <w:rPr>
                <w:rFonts w:ascii="Roboto" w:cs="Roboto" w:eastAsia="Roboto" w:hAnsi="Roboto"/>
                <w:sz w:val="24"/>
                <w:szCs w:val="24"/>
                <w:highlight w:val="cyan"/>
              </w:rPr>
              <w:t xml:space="preserve">c. Updated PBT Running Number, RHB Payment ID and RHB Payment Information in Section 2.2.6 and Section 2.2.6.1</w:t>
            </w:r>
          </w:p>
          <w:p>
            <w:pPr>
              <w:spacing w:after="0" w:before="0"/>
            </w:pPr>
            <w:r>
              <w:rPr>
                <w:rFonts w:ascii="Roboto" w:cs="Roboto" w:eastAsia="Roboto" w:hAnsi="Roboto"/>
                <w:sz w:val="24"/>
                <w:szCs w:val="24"/>
                <w:highlight w:val="cyan"/>
              </w:rPr>
              <w:t xml:space="preserve">d. Updated Invoice and e-Invoice in Section 2.2.9</w:t>
            </w:r>
          </w:p>
          <w:p>
            <w:pPr>
              <w:spacing w:after="0" w:before="0"/>
            </w:pPr>
            <w:r>
              <w:rPr>
                <w:rFonts w:ascii="Roboto" w:cs="Roboto" w:eastAsia="Roboto" w:hAnsi="Roboto"/>
                <w:sz w:val="24"/>
                <w:szCs w:val="24"/>
                <w:highlight w:val="cyan"/>
              </w:rPr>
              <w:t xml:space="preserve">e. Updated Master List Data Import in Section 2.2.4 and added Section 2.2.4.1</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Up_EAINT-12348_PBT Portal_20261009.html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Up_EAINT-12348_BackOffice Portal_20261012.html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Sample_EAINT-12348_Dereg Invoice PBT_20261012 and Sample_EAINT-12348_Dereg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Sample_EAINT-12348_eDereg Pre-Checking Invoice PBT_20261012 and Sample_EAINT-12348_eDereg Pre-Checking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to RHB payment reconciliation (Recon)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Confirmed by developer that the PBT changes do not affect Recon. Recon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 Portal</w:t>
            </w:r>
          </w:p>
          <w:p>
            <w:pPr>
              <w:spacing w:after="0" w:before="0"/>
            </w:pPr>
            <w:r>
              <w:rPr>
                <w:rFonts w:ascii="Roboto" w:cs="Roboto" w:eastAsia="Roboto" w:hAnsi="Roboto"/>
                <w:sz w:val="24"/>
                <w:szCs w:val="24"/>
              </w:rPr>
              <w:t xml:space="preserve">2.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rPr>
              <w:t xml:space="preserve">4. The PBT master list and licensed AATF list are imported directly as company accounts, in place of an Organisation Name field and a master list selection on account creation.</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rPr>
              <w:t xml:space="preserve">6. A PBT does not hold a Business Registration Number. A PBT holds 1 Registration Number provided by LHDN (MyInvois Portal) for e-Invoice use, captured in Company Reg. No. on the PBT account.</w:t>
            </w:r>
          </w:p>
          <w:p/>
          <w:p>
            <w:pPr>
              <w:spacing w:after="0" w:before="0"/>
            </w:pPr>
            <w:r>
              <w:rPr>
                <w:rFonts w:ascii="Roboto" w:cs="Roboto" w:eastAsia="Roboto" w:hAnsi="Roboto"/>
                <w:sz w:val="24"/>
                <w:szCs w:val="24"/>
              </w:rPr>
              <w:t xml:space="preserve">7. Company Type cannot be changed once the account is created.</w:t>
            </w:r>
          </w:p>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lists INDIVIDU - INDIVIDU and the logged-in PBT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and PBT Portal — Create Deregistration Transaction (Step 5 Payment)</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Summary follows the eDereg Pre-Checking Step 2 Payment layout, for both AATF and PBT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Buyer shows the PBT account for a PBT transaction.</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Company Type AATF and PBT use the same set of fields for the main user, including Login ID and Password. Only the section label differs: Director / Owner Details for AATF and Main User Details for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All BackOffice users can view and access Manage AATF/PBT Account. The access setting follows Manage Company Accounts under BackOffice &gt; Account Management.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Any BackOffice user opens BackOffice &gt; Account Management</w:t>
            </w:r>
          </w:p>
          <w:p>
            <w:pPr>
              <w:spacing w:after="0" w:before="0"/>
            </w:pPr>
            <w:r>
              <w:rPr>
                <w:rFonts w:ascii="Roboto" w:cs="Roboto" w:eastAsia="Roboto" w:hAnsi="Roboto"/>
                <w:sz w:val="24"/>
                <w:szCs w:val="24"/>
              </w:rPr>
              <w:t xml:space="preserve">a. Manage AATF/PBT Account is displayed and accessible, the same as Manage Company Accounts.</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AATF/PBT Company Account</w:t>
            </w:r>
          </w:p>
          <w:p>
            <w:pPr>
              <w:spacing w:after="0" w:before="0"/>
            </w:pPr>
            <w:r>
              <w:rPr>
                <w:rFonts w:ascii="Roboto" w:cs="Roboto" w:eastAsia="Roboto" w:hAnsi="Roboto"/>
                <w:sz w:val="24"/>
                <w:szCs w:val="24"/>
              </w:rPr>
              <w:t xml:space="preserve">a. Company Type is selectable.</w:t>
            </w:r>
          </w:p>
          <w:p/>
          <w:p>
            <w:pPr>
              <w:spacing w:after="0" w:before="0"/>
            </w:pPr>
            <w:r>
              <w:rPr>
                <w:rFonts w:ascii="Roboto" w:cs="Roboto" w:eastAsia="Roboto" w:hAnsi="Roboto"/>
                <w:b/>
                <w:bCs/>
                <w:sz w:val="24"/>
                <w:szCs w:val="24"/>
              </w:rPr>
              <w:t xml:space="preserve">Example 2: Update AATF/PBT Company Account</w:t>
            </w:r>
          </w:p>
          <w:p>
            <w:pPr>
              <w:spacing w:after="0" w:before="0"/>
            </w:pPr>
            <w:r>
              <w:rPr>
                <w:rFonts w:ascii="Roboto" w:cs="Roboto" w:eastAsia="Roboto" w:hAnsi="Roboto"/>
                <w:sz w:val="24"/>
                <w:szCs w:val="24"/>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cyan"/>
              </w:rPr>
              <w:t xml:space="preserve">a. Every record in the PBT master list is imported as a PBT company account, except the 4 existing PBT records in production (item i).</w:t>
            </w:r>
          </w:p>
          <w:p>
            <w:pPr>
              <w:spacing w:after="0" w:before="0"/>
              <w:ind w:left="360" w:hanging="240"/>
            </w:pPr>
            <w:r>
              <w:rPr>
                <w:rFonts w:ascii="Roboto" w:cs="Roboto" w:eastAsia="Roboto" w:hAnsi="Roboto"/>
                <w:sz w:val="24"/>
                <w:szCs w:val="24"/>
              </w:rPr>
              <w:t xml:space="preserve">b. Every record in the licensed AATF list is imported as an AATF company account.</w:t>
            </w:r>
          </w:p>
          <w:p>
            <w:pPr>
              <w:spacing w:after="0" w:before="0"/>
              <w:ind w:left="360" w:hanging="240"/>
            </w:pPr>
            <w:r>
              <w:rPr>
                <w:rFonts w:ascii="Roboto" w:cs="Roboto" w:eastAsia="Roboto" w:hAnsi="Roboto"/>
                <w:sz w:val="24"/>
                <w:szCs w:val="24"/>
              </w:rPr>
              <w:t xml:space="preserve">c. Existing PBT records held under the AATF function are migrated to PBT company accounts.</w:t>
            </w:r>
          </w:p>
          <w:p>
            <w:pPr>
              <w:spacing w:after="0" w:before="0"/>
              <w:ind w:left="360" w:hanging="240"/>
            </w:pPr>
            <w:r>
              <w:rPr>
                <w:rFonts w:ascii="Roboto" w:cs="Roboto" w:eastAsia="Roboto" w:hAnsi="Roboto"/>
                <w:sz w:val="24"/>
                <w:szCs w:val="24"/>
              </w:rPr>
              <w:t xml:space="preserve">d. A mandatory field with no source data is stored empty on import.</w:t>
            </w:r>
          </w:p>
          <w:p>
            <w:pPr>
              <w:spacing w:after="0" w:before="0"/>
              <w:ind w:left="360" w:hanging="240"/>
            </w:pPr>
            <w:r>
              <w:rPr>
                <w:rFonts w:ascii="Roboto" w:cs="Roboto" w:eastAsia="Roboto" w:hAnsi="Roboto"/>
                <w:sz w:val="24"/>
                <w:szCs w:val="24"/>
              </w:rPr>
              <w:t xml:space="preserve">e. Imported PBT and AATF company accounts are saved with Company Account Status New.</w:t>
            </w:r>
          </w:p>
          <w:p>
            <w:pPr>
              <w:spacing w:after="0" w:before="0"/>
              <w:ind w:left="360" w:hanging="240"/>
            </w:pPr>
            <w:r>
              <w:rPr>
                <w:rFonts w:ascii="Roboto" w:cs="Roboto" w:eastAsia="Roboto" w:hAnsi="Roboto"/>
                <w:sz w:val="24"/>
                <w:szCs w:val="24"/>
              </w:rPr>
              <w:t xml:space="preserve">g. MAJLIS BANDARAYA PULAU PINANG is imported with:</w:t>
            </w:r>
          </w:p>
          <w:p/>
          <w:p>
            <w:pPr>
              <w:spacing w:after="0" w:before="0"/>
              <w:ind w:left="720" w:hanging="300"/>
            </w:pPr>
            <w:r>
              <w:rPr>
                <w:rFonts w:ascii="Roboto" w:cs="Roboto" w:eastAsia="Roboto" w:hAnsi="Roboto"/>
                <w:b/>
                <w:bCs/>
                <w:sz w:val="24"/>
                <w:szCs w:val="24"/>
              </w:rPr>
              <w:t xml:space="preserve">i. TIN Number: </w:t>
            </w:r>
            <w:r>
              <w:rPr>
                <w:rFonts w:ascii="Roboto" w:cs="Roboto" w:eastAsia="Roboto" w:hAnsi="Roboto"/>
                <w:sz w:val="24"/>
                <w:szCs w:val="24"/>
              </w:rPr>
              <w:t xml:space="preserve">F10320870040</w:t>
            </w:r>
          </w:p>
          <w:p>
            <w:pPr>
              <w:spacing w:after="0" w:before="0"/>
              <w:ind w:left="720" w:hanging="300"/>
            </w:pPr>
            <w:r>
              <w:rPr>
                <w:rFonts w:ascii="Roboto" w:cs="Roboto" w:eastAsia="Roboto" w:hAnsi="Roboto"/>
                <w:b/>
                <w:bCs/>
                <w:sz w:val="24"/>
                <w:szCs w:val="24"/>
              </w:rPr>
              <w:t xml:space="preserve">ii. Company Reg. No.: </w:t>
            </w:r>
            <w:r>
              <w:rPr>
                <w:rFonts w:ascii="Roboto" w:cs="Roboto" w:eastAsia="Roboto" w:hAnsi="Roboto"/>
                <w:sz w:val="24"/>
                <w:szCs w:val="24"/>
              </w:rPr>
              <w:t xml:space="preserve">AKT/07/0701/0001</w:t>
            </w:r>
          </w:p>
          <w:p>
            <w:pPr>
              <w:spacing w:after="0" w:before="0"/>
              <w:ind w:left="720" w:hanging="300"/>
            </w:pPr>
            <w:r>
              <w:rPr>
                <w:rFonts w:ascii="Roboto" w:cs="Roboto" w:eastAsia="Roboto" w:hAnsi="Roboto"/>
                <w:b/>
                <w:bCs/>
                <w:sz w:val="24"/>
                <w:szCs w:val="24"/>
              </w:rPr>
              <w:t xml:space="preserve">iii. SST Registration Number: </w:t>
            </w:r>
            <w:r>
              <w:rPr>
                <w:rFonts w:ascii="Roboto" w:cs="Roboto" w:eastAsia="Roboto" w:hAnsi="Roboto"/>
                <w:sz w:val="24"/>
                <w:szCs w:val="24"/>
              </w:rPr>
              <w:t xml:space="preserve">P11-1809-32000202</w:t>
            </w:r>
          </w:p>
          <w:p/>
          <w:p>
            <w:pPr>
              <w:spacing w:after="0" w:before="0"/>
              <w:ind w:left="360" w:hanging="240"/>
            </w:pPr>
            <w:r>
              <w:rPr>
                <w:rFonts w:ascii="Roboto" w:cs="Roboto" w:eastAsia="Roboto" w:hAnsi="Roboto"/>
                <w:sz w:val="24"/>
                <w:szCs w:val="24"/>
              </w:rPr>
              <w:t xml:space="preserve">h. Where an Abbreviation is shared by 2 or more PBT organisations, PBT Shortform is imported as the PBT Shortform listed in Section 2.2.5.4, for example MDKerian and MDKeningau.</w:t>
            </w:r>
          </w:p>
          <w:p/>
          <w:p>
            <w:pPr>
              <w:spacing w:after="0" w:before="0"/>
              <w:ind w:left="360" w:hanging="240"/>
            </w:pPr>
            <w:r>
              <w:rPr>
                <w:rFonts w:ascii="Roboto" w:cs="Roboto" w:eastAsia="Roboto" w:hAnsi="Roboto"/>
                <w:sz w:val="24"/>
                <w:szCs w:val="24"/>
                <w:highlight w:val="cyan"/>
              </w:rPr>
              <w:t xml:space="preserve">f. After deployment, the 4 existing PBT records in production log in as PBT and create deregistration and eDereg Pre-Checking transactions. They are listed in Section 2.2.4.1.</w:t>
            </w:r>
          </w:p>
          <w:p/>
          <w:p>
            <w:pPr>
              <w:spacing w:after="0" w:before="0"/>
              <w:ind w:left="360" w:hanging="240"/>
            </w:pPr>
            <w:r>
              <w:rPr>
                <w:rFonts w:ascii="Roboto" w:cs="Roboto" w:eastAsia="Roboto" w:hAnsi="Roboto"/>
                <w:sz w:val="24"/>
                <w:szCs w:val="24"/>
                <w:highlight w:val="cyan"/>
              </w:rPr>
              <w:t xml:space="preserve">i. The 4 existing PBT records in production are skipped on import, the same as Car Medic Sdn Bhd for the licensed AATF list. 154 PBT company accounts are created from the PBT master list.</w:t>
            </w:r>
          </w:p>
          <w:p/>
          <w:p>
            <w:pPr>
              <w:spacing w:after="0" w:before="0"/>
            </w:pPr>
            <w:r>
              <w:rPr>
                <w:rFonts w:ascii="Roboto" w:cs="Roboto" w:eastAsia="Roboto" w:hAnsi="Roboto"/>
                <w:b/>
                <w:bCs/>
                <w:sz w:val="24"/>
                <w:szCs w:val="24"/>
              </w:rPr>
              <w:t xml:space="preserve">PBT master list mapping to Create New AATF/PBT Company Account:</w:t>
            </w:r>
          </w:p>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sz w:val="24"/>
                <w:szCs w:val="24"/>
              </w:rPr>
              <w:t xml:space="preserve">Company Reg. No. is not mandatory when Company Type is PBT and is stored empty for an imported PBT account.</w:t>
            </w:r>
          </w:p>
          <w:p/>
          <w:p>
            <w:pPr>
              <w:spacing w:after="0" w:before="0"/>
            </w:pPr>
            <w:r>
              <w:rPr>
                <w:rFonts w:ascii="Roboto" w:cs="Roboto" w:eastAsia="Roboto" w:hAnsi="Roboto"/>
                <w:b/>
                <w:bCs/>
                <w:sz w:val="24"/>
                <w:szCs w:val="24"/>
              </w:rPr>
              <w:t xml:space="preserve">Licensed AATF list mapping to Create New AATF/PBT Company Account:</w:t>
            </w:r>
          </w:p>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p>
            <w:pPr>
              <w:spacing w:after="0" w:before="0"/>
            </w:pPr>
            <w:r>
              <w:rPr>
                <w:rFonts w:ascii="Roboto" w:cs="Roboto" w:eastAsia="Roboto" w:hAnsi="Roboto"/>
                <w:sz w:val="24"/>
                <w:szCs w:val="24"/>
              </w:rPr>
              <w:t xml:space="preserve">A value not stated in Alamat, or with no matching dropdown value, is stored empty.</w:t>
            </w:r>
          </w:p>
          <w:p/>
          <w:p>
            <w:pPr>
              <w:spacing w:after="0" w:before="0"/>
            </w:pPr>
            <w:r>
              <w:rPr>
                <w:rFonts w:ascii="Roboto" w:cs="Roboto" w:eastAsia="Roboto" w:hAnsi="Roboto"/>
                <w:sz w:val="24"/>
                <w:szCs w:val="24"/>
              </w:rPr>
              <w:t xml:space="preserve">A licensed AATF that already holds a company account in production is excluded. Car Medic Sdn Bhd is excluded on this basis.</w:t>
            </w:r>
          </w:p>
          <w:p/>
          <w:p>
            <w:pPr>
              <w:spacing w:after="0" w:before="0"/>
            </w:pPr>
            <w:r>
              <w:rPr>
                <w:rFonts w:ascii="Roboto" w:cs="Roboto" w:eastAsia="Roboto" w:hAnsi="Roboto"/>
                <w:sz w:val="24"/>
                <w:szCs w:val="24"/>
              </w:rPr>
              <w:t xml:space="preserve">An imported account with no Login ID and Password is not able to log in. Login ID and Password sit under Director / Owner Details for Company Type AATF and under Main User Details for Company Type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highlight w:val="cyan"/>
              </w:rPr>
              <w:t xml:space="preserve">a. 154 PBT company accounts are created. The 4 existing PBT records in production listed in Section 2.2.4.1 are not imported.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rPr>
              <w:t xml:space="preserve">c. Company Reg. No. and other fields with no source data are stored empty.</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rPr>
              <w:t xml:space="preserve">a. TIN Number is displayed, for example MAJLIS BANDARAYA PULAU PINANG with TIN Number F10320870040.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rPr>
              <w:t xml:space="preserve">a. TIN Number is stored empty and is completed by Operations team on Update.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rPr>
              <w:t xml:space="preserve">b. Pre-Checking Email is mandatory.</w:t>
            </w:r>
          </w:p>
          <w:p>
            <w:pPr>
              <w:spacing w:after="0" w:before="0"/>
              <w:ind w:left="360" w:hanging="240"/>
            </w:pPr>
            <w:r>
              <w:rPr>
                <w:rFonts w:ascii="Roboto" w:cs="Roboto" w:eastAsia="Roboto" w:hAnsi="Roboto"/>
                <w:sz w:val="24"/>
                <w:szCs w:val="24"/>
              </w:rPr>
              <w:t xml:space="preserve">c. A checkbox Same as Company Email is displayed beside Pre-Checking Email and is ticked by default.</w:t>
            </w:r>
          </w:p>
          <w:p>
            <w:pPr>
              <w:spacing w:after="0" w:before="0"/>
              <w:ind w:left="360" w:hanging="240"/>
            </w:pPr>
            <w:r>
              <w:rPr>
                <w:rFonts w:ascii="Roboto" w:cs="Roboto" w:eastAsia="Roboto" w:hAnsi="Roboto"/>
                <w:sz w:val="24"/>
                <w:szCs w:val="24"/>
              </w:rPr>
              <w:t xml:space="preserve">d. When Same as Company Email is ticked, Pre-Checking Email takes the Company Email value and is not editable. When it is unticked, Pre-Checking Email is entered separately.</w:t>
            </w:r>
          </w:p>
          <w:p>
            <w:pPr>
              <w:spacing w:after="0" w:before="0"/>
              <w:ind w:left="360" w:hanging="240"/>
            </w:pPr>
            <w:r>
              <w:rPr>
                <w:rFonts w:ascii="Roboto" w:cs="Roboto" w:eastAsia="Roboto" w:hAnsi="Roboto"/>
                <w:sz w:val="24"/>
                <w:szCs w:val="24"/>
              </w:rPr>
              <w:t xml:space="preserve">e. Pre-Checking Email is used for eDereg Pre-Checking submission.</w:t>
            </w:r>
          </w:p>
          <w:p>
            <w:pPr>
              <w:spacing w:after="0" w:before="0"/>
              <w:ind w:left="360" w:hanging="240"/>
            </w:pPr>
            <w:r>
              <w:rPr>
                <w:rFonts w:ascii="Roboto" w:cs="Roboto" w:eastAsia="Roboto" w:hAnsi="Roboto"/>
                <w:sz w:val="24"/>
                <w:szCs w:val="24"/>
              </w:rPr>
              <w:t xml:space="preserve">f. Pre-Checking Email applies to Company Type AATF and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Same as Company Email ticked</w:t>
            </w:r>
          </w:p>
          <w:p>
            <w:pPr>
              <w:spacing w:after="0" w:before="0"/>
            </w:pPr>
            <w:r>
              <w:rPr>
                <w:rFonts w:ascii="Roboto" w:cs="Roboto" w:eastAsia="Roboto" w:hAnsi="Roboto"/>
                <w:sz w:val="24"/>
                <w:szCs w:val="24"/>
              </w:rPr>
              <w:t xml:space="preserve">a. Pre-Checking Email shows the Company Email value and cannot be edited.</w:t>
            </w:r>
          </w:p>
          <w:p/>
          <w:p>
            <w:pPr>
              <w:spacing w:after="0" w:before="0"/>
            </w:pPr>
            <w:r>
              <w:rPr>
                <w:rFonts w:ascii="Roboto" w:cs="Roboto" w:eastAsia="Roboto" w:hAnsi="Roboto"/>
                <w:b/>
                <w:bCs/>
                <w:sz w:val="24"/>
                <w:szCs w:val="24"/>
              </w:rPr>
              <w:t xml:space="preserve">Example 2: Create New with Same as Company Email unticked and Pre-Checking Email empty</w:t>
            </w:r>
          </w:p>
          <w:p>
            <w:pPr>
              <w:spacing w:after="0" w:before="0"/>
            </w:pPr>
            <w:r>
              <w:rPr>
                <w:rFonts w:ascii="Roboto" w:cs="Roboto" w:eastAsia="Roboto" w:hAnsi="Roboto"/>
                <w:sz w:val="24"/>
                <w:szCs w:val="24"/>
              </w:rPr>
              <w:t xml:space="preserve">a. The account is not saved and Pre-Checking Email is flagged as mandatory.</w:t>
            </w:r>
          </w:p>
          <w:p/>
          <w:p>
            <w:pPr>
              <w:spacing w:after="0" w:before="0"/>
            </w:pPr>
            <w:r>
              <w:rPr>
                <w:rFonts w:ascii="Roboto" w:cs="Roboto" w:eastAsia="Roboto" w:hAnsi="Roboto"/>
                <w:b/>
                <w:bCs/>
                <w:sz w:val="24"/>
                <w:szCs w:val="24"/>
              </w:rPr>
              <w:t xml:space="preserve">Example 3: eDereg Pre-Checking submission</w:t>
            </w:r>
          </w:p>
          <w:p>
            <w:pPr>
              <w:spacing w:after="0" w:before="0"/>
            </w:pPr>
            <w:r>
              <w:rPr>
                <w:rFonts w:ascii="Roboto" w:cs="Roboto" w:eastAsia="Roboto" w:hAnsi="Roboto"/>
                <w:sz w:val="24"/>
                <w:szCs w:val="24"/>
              </w:rPr>
              <w:t xml:space="preserve">a. Pre-Checking Email is used.</w:t>
            </w:r>
          </w:p>
          <w:p/>
          <w:p>
            <w:pPr>
              <w:spacing w:after="0" w:before="0"/>
            </w:pPr>
            <w:r>
              <w:rPr>
                <w:rFonts w:ascii="Roboto" w:cs="Roboto" w:eastAsia="Roboto" w:hAnsi="Roboto"/>
                <w:b/>
                <w:bCs/>
                <w:sz w:val="24"/>
                <w:szCs w:val="24"/>
              </w:rPr>
              <w:t xml:space="preserve">Example 4: Deregistration submission</w:t>
            </w:r>
          </w:p>
          <w:p>
            <w:pPr>
              <w:spacing w:after="0" w:before="0"/>
            </w:pPr>
            <w:r>
              <w:rPr>
                <w:rFonts w:ascii="Roboto" w:cs="Roboto" w:eastAsia="Roboto" w:hAnsi="Roboto"/>
                <w:sz w:val="24"/>
                <w:szCs w:val="24"/>
              </w:rPr>
              <w:t xml:space="preserve">a. Company Email is used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display the same fields for Company Type AATF and PBT, apart from PBT Shortform and DOE Email.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Company Type is PBT, on Create New and Update AATF/PBT Company Account:</w:t>
            </w:r>
          </w:p>
          <w:p/>
          <w:p>
            <w:pPr>
              <w:spacing w:after="0" w:before="0"/>
              <w:ind w:left="360" w:hanging="240"/>
            </w:pPr>
            <w:r>
              <w:rPr>
                <w:rFonts w:ascii="Roboto" w:cs="Roboto" w:eastAsia="Roboto" w:hAnsi="Roboto"/>
                <w:sz w:val="24"/>
                <w:szCs w:val="24"/>
              </w:rPr>
              <w:t xml:space="preserve">a. Director / Owner Details is labelled Main User Details.</w:t>
            </w:r>
          </w:p>
          <w:p>
            <w:pPr>
              <w:spacing w:after="0" w:before="0"/>
              <w:ind w:left="360" w:hanging="240"/>
            </w:pPr>
            <w:r>
              <w:rPr>
                <w:rFonts w:ascii="Roboto" w:cs="Roboto" w:eastAsia="Roboto" w:hAnsi="Roboto"/>
                <w:sz w:val="24"/>
                <w:szCs w:val="24"/>
              </w:rPr>
              <w:t xml:space="preserve">b. Company Reg. No. is displayed and holds the 1 Registration Number provided by LHDN (MyInvois Portal) to the PBT for e-Invoice use, for example AKT/07/0701/0001. A PBT does not hold a Business Registration Number.</w:t>
            </w:r>
          </w:p>
          <w:p>
            <w:pPr>
              <w:spacing w:after="0" w:before="0"/>
              <w:ind w:left="360" w:hanging="240"/>
            </w:pPr>
            <w:r>
              <w:rPr>
                <w:rFonts w:ascii="Roboto" w:cs="Roboto" w:eastAsia="Roboto" w:hAnsi="Roboto"/>
                <w:sz w:val="24"/>
                <w:szCs w:val="24"/>
              </w:rPr>
              <w:t xml:space="preserve">c. New Company Reg. No. is not displayed.</w:t>
            </w:r>
          </w:p>
          <w:p>
            <w:pPr>
              <w:spacing w:after="0" w:before="0"/>
              <w:ind w:left="360" w:hanging="240"/>
            </w:pPr>
            <w:r>
              <w:rPr>
                <w:rFonts w:ascii="Roboto" w:cs="Roboto" w:eastAsia="Roboto" w:hAnsi="Roboto"/>
                <w:sz w:val="24"/>
                <w:szCs w:val="24"/>
              </w:rPr>
              <w:t xml:space="preserve">d. Same as Mailing Address, Showroom Address, Showroom Postcode, Showroom State, Showroom City and Showroom District are not displayed.</w:t>
            </w:r>
          </w:p>
          <w:p>
            <w:pPr>
              <w:spacing w:after="0" w:before="0"/>
              <w:ind w:left="360" w:hanging="240"/>
            </w:pPr>
            <w:r>
              <w:rPr>
                <w:rFonts w:ascii="Roboto" w:cs="Roboto" w:eastAsia="Roboto" w:hAnsi="Roboto"/>
                <w:sz w:val="24"/>
                <w:szCs w:val="24"/>
                <w:highlight w:val="cyan"/>
              </w:rPr>
              <w:t xml:space="preserve">e. SST Registration Number is displayed in Company Details beside TIN Number, as an optional free text field, for example P11-1809-32000202 for MAJLIS BANDARAYA PULAU PINANG. Buyer SST Registration Number on the e-Invoice takes this value.</w:t>
            </w:r>
          </w:p>
          <w:p>
            <w:pPr>
              <w:spacing w:after="0" w:before="0"/>
              <w:ind w:left="360" w:hanging="240"/>
            </w:pPr>
            <w:r>
              <w:rPr>
                <w:rFonts w:ascii="Roboto" w:cs="Roboto" w:eastAsia="Roboto" w:hAnsi="Roboto"/>
                <w:sz w:val="24"/>
                <w:szCs w:val="24"/>
                <w:highlight w:val="cyan"/>
              </w:rPr>
              <w:t xml:space="preserve">f. When Company Type is AATF, all fields display as before this enhancement and SST Registration Number is not displayed.</w:t>
            </w:r>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Company Type = PBT</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is displayed for the PBT Registration Number.</w:t>
            </w:r>
          </w:p>
          <w:p>
            <w:pPr>
              <w:spacing w:after="0" w:before="0"/>
            </w:pPr>
            <w:r>
              <w:rPr>
                <w:rFonts w:ascii="Roboto" w:cs="Roboto" w:eastAsia="Roboto" w:hAnsi="Roboto"/>
                <w:sz w:val="24"/>
                <w:szCs w:val="24"/>
                <w:highlight w:val="cyan"/>
              </w:rPr>
              <w:t xml:space="preserve">c. SST Registration Number is displayed beside TIN Number.</w:t>
            </w:r>
          </w:p>
          <w:p>
            <w:pPr>
              <w:spacing w:after="0" w:before="0"/>
            </w:pPr>
            <w:r>
              <w:rPr>
                <w:rFonts w:ascii="Roboto" w:cs="Roboto" w:eastAsia="Roboto" w:hAnsi="Roboto"/>
                <w:sz w:val="24"/>
                <w:szCs w:val="24"/>
              </w:rPr>
              <w:t xml:space="preserve">d. New Company Reg. No. and all Showroom fields are not displayed.</w:t>
            </w:r>
          </w:p>
          <w:p/>
          <w:p>
            <w:pPr>
              <w:spacing w:after="0" w:before="0"/>
            </w:pPr>
            <w:r>
              <w:rPr>
                <w:rFonts w:ascii="Roboto" w:cs="Roboto" w:eastAsia="Roboto" w:hAnsi="Roboto"/>
                <w:b/>
                <w:bCs/>
                <w:sz w:val="24"/>
                <w:szCs w:val="24"/>
              </w:rPr>
              <w:t xml:space="preserve">Example 2: Create New with Company Type = AATF</w:t>
            </w:r>
          </w:p>
          <w:p>
            <w:pPr>
              <w:spacing w:after="0" w:before="0"/>
            </w:pPr>
            <w:r>
              <w:rPr>
                <w:rFonts w:ascii="Roboto" w:cs="Roboto" w:eastAsia="Roboto" w:hAnsi="Roboto"/>
                <w:sz w:val="24"/>
                <w:szCs w:val="24"/>
              </w:rPr>
              <w:t xml:space="preserve">a. Director / Owner Details, Company Reg. No., New Company Reg. No. and all Showroom fields are displayed as before this enhancement.</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highlight w:val="cyan"/>
        </w:rPr>
        <w:t xml:space="preserve">2.2.4.1  Existing PBT Records in Production</w:t>
      </w:r>
    </w:p>
    <w:p>
      <w:pPr>
        <w:spacing w:after="120" w:line="276" w:lineRule="auto"/>
      </w:pPr>
      <w:r>
        <w:rPr>
          <w:rFonts w:ascii="Roboto" w:cs="Roboto" w:eastAsia="Roboto" w:hAnsi="Roboto"/>
          <w:sz w:val="24"/>
          <w:szCs w:val="24"/>
          <w:highlight w:val="cyan"/>
        </w:rPr>
        <w:t xml:space="preserve">PBT records that exist in production before this enhancement is deployed.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400"/>
        <w:gridCol w:w="9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ID</w:t>
            </w:r>
          </w:p>
        </w:tc>
        <w:tc>
          <w:tcPr>
            <w:tcW w:type="dxa" w:w="9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Name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5040001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Bandaraya Melaka Bersejarah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5040002</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Jasin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5050001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Bandaraya Seremban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5100001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Perbandaran Kajang</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highlight w:val="yellow"/>
              </w:rPr>
              <w:t xml:space="preserve">The requestor is preparing the PBT Perakuan content for 3 screens: Create Deregistration Transaction Step 1, Create Deregistration Transaction Step 3 and eDereg Pre-Checking Step 1. Content is pending requestor.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mandatory dropdown under AATF Details at Step 2 Vehicle of Create Deregistration Transaction. The AATF user selects Individu or a PBT from the PBT list, for example MBS - MAJLIS BANDARAYA SEREMBAN.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the logged-in user is a PBT, PBT / Individu is a mandatory dropdown with exactly 2 options, and no option is selected by default:</w:t>
            </w:r>
          </w:p>
          <w:p/>
          <w:p>
            <w:pPr>
              <w:spacing w:after="0" w:before="0"/>
              <w:ind w:left="360" w:hanging="240"/>
            </w:pPr>
            <w:r>
              <w:rPr>
                <w:rFonts w:ascii="Roboto" w:cs="Roboto" w:eastAsia="Roboto" w:hAnsi="Roboto"/>
                <w:sz w:val="24"/>
                <w:szCs w:val="24"/>
              </w:rPr>
              <w:t xml:space="preserve">a. INDIVIDU - INDIVIDU</w:t>
            </w:r>
          </w:p>
          <w:p>
            <w:pPr>
              <w:spacing w:after="0" w:before="0"/>
              <w:ind w:left="360" w:hanging="240"/>
            </w:pPr>
            <w:r>
              <w:rPr>
                <w:rFonts w:ascii="Roboto" w:cs="Roboto" w:eastAsia="Roboto" w:hAnsi="Roboto"/>
                <w:sz w:val="24"/>
                <w:szCs w:val="24"/>
              </w:rPr>
              <w:t xml:space="preserve">b. The logged-in PBT, for example MBPJ - MAJLIS BANDARAYA PETALING JAYA</w:t>
            </w:r>
          </w:p>
          <w:p/>
          <w:p>
            <w:pPr>
              <w:spacing w:after="0" w:before="0"/>
            </w:pPr>
            <w:r>
              <w:rPr>
                <w:rFonts w:ascii="Roboto" w:cs="Roboto" w:eastAsia="Roboto" w:hAnsi="Roboto"/>
                <w:sz w:val="24"/>
                <w:szCs w:val="24"/>
              </w:rPr>
              <w:t xml:space="preserve">When the logged-in user is an AATF, PBT / Individu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Step 2 Vehicle</w:t>
            </w:r>
          </w:p>
          <w:p>
            <w:pPr>
              <w:spacing w:after="0" w:before="0"/>
            </w:pPr>
            <w:r>
              <w:rPr>
                <w:rFonts w:ascii="Roboto" w:cs="Roboto" w:eastAsia="Roboto" w:hAnsi="Roboto"/>
                <w:sz w:val="24"/>
                <w:szCs w:val="24"/>
              </w:rPr>
              <w:t xml:space="preserve">a. PBT / Individu shows no selection and lists only INDIVIDU - INDIVIDU and MBPJ - MAJLIS BANDARAYA PETALING JAYA.</w:t>
            </w:r>
          </w:p>
          <w:p/>
          <w:p>
            <w:pPr>
              <w:spacing w:after="0" w:before="0"/>
            </w:pPr>
            <w:r>
              <w:rPr>
                <w:rFonts w:ascii="Roboto" w:cs="Roboto" w:eastAsia="Roboto" w:hAnsi="Roboto"/>
                <w:b/>
                <w:bCs/>
                <w:sz w:val="24"/>
                <w:szCs w:val="24"/>
              </w:rPr>
              <w:t xml:space="preserve">Example 2: MBPJ user clicks Next without selecting PBT / Individu</w:t>
            </w:r>
          </w:p>
          <w:p>
            <w:pPr>
              <w:spacing w:after="0" w:before="0"/>
            </w:pPr>
            <w:r>
              <w:rPr>
                <w:rFonts w:ascii="Roboto" w:cs="Roboto" w:eastAsia="Roboto" w:hAnsi="Roboto"/>
                <w:sz w:val="24"/>
                <w:szCs w:val="24"/>
              </w:rPr>
              <w:t xml:space="preserve">a. Step 2 does not proceed and PBT / Individu is flagged as mandatory.</w:t>
            </w:r>
          </w:p>
          <w:p/>
          <w:p>
            <w:pPr>
              <w:spacing w:after="0" w:before="0"/>
            </w:pPr>
            <w:r>
              <w:rPr>
                <w:rFonts w:ascii="Roboto" w:cs="Roboto" w:eastAsia="Roboto" w:hAnsi="Roboto"/>
                <w:b/>
                <w:bCs/>
                <w:sz w:val="24"/>
                <w:szCs w:val="24"/>
              </w:rPr>
              <w:t xml:space="preserve">Example 3: AATF user opens Step 2 Vehicle</w:t>
            </w:r>
          </w:p>
          <w:p>
            <w:pPr>
              <w:spacing w:after="0" w:before="0"/>
            </w:pPr>
            <w:r>
              <w:rPr>
                <w:rFonts w:ascii="Roboto" w:cs="Roboto" w:eastAsia="Roboto" w:hAnsi="Roboto"/>
                <w:sz w:val="24"/>
                <w:szCs w:val="24"/>
              </w:rPr>
              <w:t xml:space="preserve">a. PBT / Individu lists Individu and the PBT list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Standard Payment Summary At Step 5</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Step 5 Payment of Create Deregistration Transaction shows the transaction summary with Click NEXT to pay and DEREGISTER.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both PBT and AATF users, Step 5 Payment shows a Payment Summary in the same layout as Step 2 Payment of eDereg Pre-Checking Enquiry. Deregistration has no JPJ Fee, so the Payment Summary has these lines:</w:t>
            </w:r>
          </w:p>
          <w:p/>
          <w:p>
            <w:pPr>
              <w:spacing w:after="0" w:before="0"/>
              <w:ind w:left="360" w:hanging="240"/>
            </w:pPr>
            <w:r>
              <w:rPr>
                <w:rFonts w:ascii="Roboto" w:cs="Roboto" w:eastAsia="Roboto" w:hAnsi="Roboto"/>
                <w:sz w:val="24"/>
                <w:szCs w:val="24"/>
              </w:rPr>
              <w:t xml:space="preserve">a. eAuto Service Fee: RM 35.00</w:t>
            </w:r>
          </w:p>
          <w:p>
            <w:pPr>
              <w:spacing w:after="0" w:before="0"/>
              <w:ind w:left="360" w:hanging="240"/>
            </w:pPr>
            <w:r>
              <w:rPr>
                <w:rFonts w:ascii="Roboto" w:cs="Roboto" w:eastAsia="Roboto" w:hAnsi="Roboto"/>
                <w:sz w:val="24"/>
                <w:szCs w:val="24"/>
              </w:rPr>
              <w:t xml:space="preserve">b. Service Tax 8%: RM 2.80</w:t>
            </w:r>
          </w:p>
          <w:p>
            <w:pPr>
              <w:spacing w:after="0" w:before="0"/>
              <w:ind w:left="360" w:hanging="240"/>
            </w:pPr>
            <w:r>
              <w:rPr>
                <w:rFonts w:ascii="Roboto" w:cs="Roboto" w:eastAsia="Roboto" w:hAnsi="Roboto"/>
                <w:sz w:val="24"/>
                <w:szCs w:val="24"/>
              </w:rPr>
              <w:t xml:space="preserve">c. Total Amount Payable (inclusive of Service Tax 8%): RM 37.80</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reaches Step 5 Payment</w:t>
            </w:r>
          </w:p>
          <w:p>
            <w:pPr>
              <w:spacing w:after="0" w:before="0"/>
            </w:pPr>
            <w:r>
              <w:rPr>
                <w:rFonts w:ascii="Roboto" w:cs="Roboto" w:eastAsia="Roboto" w:hAnsi="Roboto"/>
                <w:sz w:val="24"/>
                <w:szCs w:val="24"/>
              </w:rPr>
              <w:t xml:space="preserve">a. Payment Summary shows eAuto Service Fee RM 35.00, Service Tax 8% RM 2.80 and Total Amount Payable RM 37.80, in the same layout as eDereg Pre-Checking Step 2 Payment, with no JPJ Fee line.</w:t>
            </w:r>
          </w:p>
          <w:p/>
          <w:p>
            <w:pPr>
              <w:spacing w:after="0" w:before="0"/>
            </w:pPr>
            <w:r>
              <w:rPr>
                <w:rFonts w:ascii="Roboto" w:cs="Roboto" w:eastAsia="Roboto" w:hAnsi="Roboto"/>
                <w:b/>
                <w:bCs/>
                <w:sz w:val="24"/>
                <w:szCs w:val="24"/>
              </w:rPr>
              <w:t xml:space="preserve">Example 2: AATF user reaches Step 5 Payment</w:t>
            </w:r>
          </w:p>
          <w:p>
            <w:pPr>
              <w:spacing w:after="0" w:before="0"/>
            </w:pPr>
            <w:r>
              <w:rPr>
                <w:rFonts w:ascii="Roboto" w:cs="Roboto" w:eastAsia="Roboto" w:hAnsi="Roboto"/>
                <w:sz w:val="24"/>
                <w:szCs w:val="24"/>
              </w:rPr>
              <w:t xml:space="preserve">a. Payment Summary shows the same lines and amounts as for a PBT user.</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 The PBT filter lists All, INDIVIDU - INDIVIDU and the PBT organisations.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Pr>
              <w:spacing w:after="0" w:before="0"/>
              <w:ind w:left="360" w:hanging="240"/>
            </w:pPr>
            <w:r>
              <w:rPr>
                <w:rFonts w:ascii="Roboto" w:cs="Roboto" w:eastAsia="Roboto" w:hAnsi="Roboto"/>
                <w:sz w:val="24"/>
                <w:szCs w:val="24"/>
              </w:rPr>
              <w:t xml:space="preserve">c. For a PBT user, the PBT filter has All selected by default plus exactly 2 options: INDIVIDU - INDIVIDU and the logged-in PBT, for example MBPJ - MAJLIS BANDARAYA PETALING JAYA.</w:t>
            </w:r>
          </w:p>
          <w:p>
            <w:pPr>
              <w:spacing w:after="0" w:before="0"/>
              <w:ind w:left="360" w:hanging="240"/>
            </w:pPr>
            <w:r>
              <w:rPr>
                <w:rFonts w:ascii="Roboto" w:cs="Roboto" w:eastAsia="Roboto" w:hAnsi="Roboto"/>
                <w:sz w:val="24"/>
                <w:szCs w:val="24"/>
              </w:rPr>
              <w:t xml:space="preserve">d. For an AATF user, the PBT filter remains as before this enhancement: All selected by default, plus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Pr>
              <w:spacing w:after="0" w:before="0"/>
            </w:pPr>
            <w:r>
              <w:rPr>
                <w:rFonts w:ascii="Roboto" w:cs="Roboto" w:eastAsia="Roboto" w:hAnsi="Roboto"/>
                <w:sz w:val="24"/>
                <w:szCs w:val="24"/>
              </w:rPr>
              <w:t xml:space="preserve">b. PBT filter shows All (selected), INDIVIDU - INDIVIDU and MBPJ - MAJLIS BANDARAYA PETALING JAYA only.</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pPr>
              <w:spacing w:after="0" w:before="0"/>
            </w:pPr>
            <w:r>
              <w:rPr>
                <w:rFonts w:ascii="Roboto" w:cs="Roboto" w:eastAsia="Roboto" w:hAnsi="Roboto"/>
                <w:sz w:val="24"/>
                <w:szCs w:val="24"/>
              </w:rPr>
              <w:t xml:space="preserve">b. PBT filter shows All (selected), INDIVIDU - INDIVIDU and all active PBT organisations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 the page displays PBT, Company Reg. No., PBT Address and PBT Contact No. Company Reg. No. shows the 1 Registration Number provided by LHDN (MyInvois Portal) to the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MAJLIS BANDARAYA PULAU PINANG</w:t>
            </w:r>
          </w:p>
          <w:p>
            <w:pPr>
              <w:spacing w:after="0" w:before="0"/>
            </w:pPr>
            <w:r>
              <w:rPr>
                <w:rFonts w:ascii="Roboto" w:cs="Roboto" w:eastAsia="Roboto" w:hAnsi="Roboto"/>
                <w:sz w:val="24"/>
                <w:szCs w:val="24"/>
              </w:rPr>
              <w:t xml:space="preserve">a. Company Reg. No. shows AKT/07/0701/0001.</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submission to JPJ sends the fields listed in Section 2.2.5.1 for an AATF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submission for a PBT transaction follows the existing submission.</w:t>
            </w:r>
          </w:p>
          <w:p>
            <w:pPr>
              <w:spacing w:after="0" w:before="0"/>
              <w:ind w:left="360" w:hanging="240"/>
            </w:pPr>
            <w:r>
              <w:rPr>
                <w:rFonts w:ascii="Roboto" w:cs="Roboto" w:eastAsia="Roboto" w:hAnsi="Roboto"/>
                <w:sz w:val="24"/>
                <w:szCs w:val="24"/>
              </w:rPr>
              <w:t xml:space="preserve">b. eDereg Pre-Checking submission for a PBT transaction follows the deregistration submission.</w:t>
            </w:r>
          </w:p>
          <w:p>
            <w:pPr>
              <w:spacing w:after="0" w:before="0"/>
              <w:ind w:left="360" w:hanging="240"/>
            </w:pPr>
            <w:r>
              <w:rPr>
                <w:rFonts w:ascii="Roboto" w:cs="Roboto" w:eastAsia="Roboto" w:hAnsi="Roboto"/>
                <w:sz w:val="24"/>
                <w:szCs w:val="24"/>
              </w:rPr>
              <w:t xml:space="preserve">c. Both send the eAuto Company ID of the PBT account, which starts with 5.</w:t>
            </w:r>
          </w:p>
          <w:p>
            <w:pPr>
              <w:spacing w:after="0" w:before="0"/>
              <w:ind w:left="360" w:hanging="240"/>
            </w:pPr>
            <w:r>
              <w:rPr>
                <w:rFonts w:ascii="Roboto" w:cs="Roboto" w:eastAsia="Roboto" w:hAnsi="Roboto"/>
                <w:sz w:val="24"/>
                <w:szCs w:val="24"/>
              </w:rPr>
              <w:t xml:space="preserve">d. The input for each submission field, for AATF and for PBT, is listed in Section 2.2.5.1 for deregistration, Section 2.2.5.2 for Certificate of Destruction and Section 2.2.5.3 for eDereg Pre-Checking.</w:t>
            </w:r>
          </w:p>
          <w:p/>
          <w:p>
            <w:pPr>
              <w:spacing w:after="0" w:before="0"/>
              <w:ind w:left="360" w:hanging="240"/>
            </w:pPr>
            <w:r>
              <w:rPr>
                <w:rFonts w:ascii="Roboto" w:cs="Roboto" w:eastAsia="Roboto" w:hAnsi="Roboto"/>
                <w:sz w:val="24"/>
                <w:szCs w:val="24"/>
                <w:highlight w:val="cyan"/>
              </w:rPr>
              <w:t xml:space="preserve">e. The PBT Name field carries the PBT Shortform.</w:t>
            </w:r>
          </w:p>
          <w:p>
            <w:pPr>
              <w:spacing w:after="0" w:before="0"/>
              <w:ind w:left="360" w:hanging="240"/>
            </w:pPr>
            <w:r>
              <w:rPr>
                <w:rFonts w:ascii="Roboto" w:cs="Roboto" w:eastAsia="Roboto" w:hAnsi="Roboto"/>
                <w:sz w:val="24"/>
                <w:szCs w:val="24"/>
                <w:highlight w:val="cyan"/>
              </w:rPr>
              <w:t xml:space="preserve">f. 10 abbreviations are shared by 2 to 4 PBT organisations, 24 PBT organisations in total. All 24 are listed in Section 2.2.5.4.</w:t>
            </w:r>
          </w:p>
          <w:p>
            <w:pPr>
              <w:spacing w:after="0" w:before="0"/>
              <w:ind w:left="360" w:hanging="240"/>
            </w:pPr>
            <w:r>
              <w:rPr>
                <w:rFonts w:ascii="Roboto" w:cs="Roboto" w:eastAsia="Roboto" w:hAnsi="Roboto"/>
                <w:sz w:val="24"/>
                <w:szCs w:val="24"/>
                <w:highlight w:val="cyan"/>
              </w:rPr>
              <w:t xml:space="preserve">g. For these 24, the PBT Shortform sent follows this rule:</w:t>
            </w:r>
          </w:p>
          <w:p/>
          <w:p>
            <w:pPr>
              <w:spacing w:after="0" w:before="0"/>
              <w:ind w:left="1080" w:hanging="300"/>
            </w:pPr>
            <w:r>
              <w:rPr>
                <w:rFonts w:ascii="Roboto" w:cs="Roboto" w:eastAsia="Roboto" w:hAnsi="Roboto"/>
                <w:sz w:val="24"/>
                <w:szCs w:val="24"/>
                <w:highlight w:val="cyan"/>
              </w:rPr>
              <w:t xml:space="preserve">i. MD, MP, MB or DB, followed by the place name without spaces, for example MDKerian and MDKeningau.</w:t>
            </w:r>
          </w:p>
          <w:p>
            <w:pPr>
              <w:spacing w:after="0" w:before="0"/>
              <w:ind w:left="1080" w:hanging="300"/>
            </w:pPr>
            <w:r>
              <w:rPr>
                <w:rFonts w:ascii="Roboto" w:cs="Roboto" w:eastAsia="Roboto" w:hAnsi="Roboto"/>
                <w:sz w:val="24"/>
                <w:szCs w:val="24"/>
                <w:highlight w:val="cyan"/>
              </w:rPr>
              <w:t xml:space="preserve">ii. Where the place name has 2 or more words, each word except the last is shortened to its first letter, for example MPKKangsar.</w:t>
            </w:r>
          </w:p>
          <w:p>
            <w:pPr>
              <w:spacing w:after="0" w:before="0"/>
              <w:ind w:left="1080" w:hanging="300"/>
            </w:pPr>
            <w:r>
              <w:rPr>
                <w:rFonts w:ascii="Roboto" w:cs="Roboto" w:eastAsia="Roboto" w:hAnsi="Roboto"/>
                <w:sz w:val="24"/>
                <w:szCs w:val="24"/>
                <w:highlight w:val="cyan"/>
              </w:rPr>
              <w:t xml:space="preserve">iii. Where the result is more than 10 characters, it is cut to the first 10 characters, for example MPKSamarah, MPKSelango, MPPenampan and MPPengeran.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submitted by a PBT user</w:t>
            </w:r>
          </w:p>
          <w:p>
            <w:pPr>
              <w:spacing w:after="0" w:before="0"/>
            </w:pPr>
            <w:r>
              <w:rPr>
                <w:rFonts w:ascii="Roboto" w:cs="Roboto" w:eastAsia="Roboto" w:hAnsi="Roboto"/>
                <w:sz w:val="24"/>
                <w:szCs w:val="24"/>
              </w:rPr>
              <w:t xml:space="preserve">a. The submission sends the eAuto Company ID of the PBT account, which starts with 5.</w:t>
            </w:r>
          </w:p>
          <w:p/>
          <w:p>
            <w:pPr>
              <w:spacing w:after="0" w:before="0"/>
            </w:pPr>
            <w:r>
              <w:rPr>
                <w:rFonts w:ascii="Roboto" w:cs="Roboto" w:eastAsia="Roboto" w:hAnsi="Roboto"/>
                <w:b/>
                <w:bCs/>
                <w:sz w:val="24"/>
                <w:szCs w:val="24"/>
              </w:rPr>
              <w:t xml:space="preserve">Example 2: eDereg Pre-Checking submitted by a PBT user</w:t>
            </w:r>
          </w:p>
          <w:p>
            <w:pPr>
              <w:spacing w:after="0" w:before="0"/>
            </w:pPr>
            <w:r>
              <w:rPr>
                <w:rFonts w:ascii="Roboto" w:cs="Roboto" w:eastAsia="Roboto" w:hAnsi="Roboto"/>
                <w:sz w:val="24"/>
                <w:szCs w:val="24"/>
              </w:rPr>
              <w:t xml:space="preserve">a. The submission sends the same eAuto Company ID as for deregistration.</w:t>
            </w:r>
          </w:p>
          <w:p/>
          <w:p>
            <w:pPr>
              <w:spacing w:after="0" w:before="0"/>
            </w:pPr>
            <w:r>
              <w:rPr>
                <w:rFonts w:ascii="Roboto" w:cs="Roboto" w:eastAsia="Roboto" w:hAnsi="Roboto"/>
                <w:b/>
                <w:bCs/>
                <w:sz w:val="24"/>
                <w:szCs w:val="24"/>
              </w:rPr>
              <w:t xml:space="preserve">Example 3: Transaction created by an AATF user</w:t>
            </w:r>
          </w:p>
          <w:p>
            <w:pPr>
              <w:spacing w:after="0" w:before="0"/>
            </w:pPr>
            <w:r>
              <w:rPr>
                <w:rFonts w:ascii="Roboto" w:cs="Roboto" w:eastAsia="Roboto" w:hAnsi="Roboto"/>
                <w:sz w:val="24"/>
                <w:szCs w:val="24"/>
              </w:rPr>
              <w:t xml:space="preserve">a. The submission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2.2.5.1  Deregistration Submission to JPJ</w:t>
      </w:r>
    </w:p>
    <w:p>
      <w:pPr>
        <w:spacing w:after="120" w:line="276" w:lineRule="auto"/>
      </w:pPr>
      <w:r>
        <w:rPr>
          <w:rFonts w:ascii="Roboto" w:cs="Roboto" w:eastAsia="Roboto" w:hAnsi="Roboto"/>
          <w:sz w:val="24"/>
          <w:szCs w:val="24"/>
        </w:rPr>
        <w:t xml:space="preserve">Fields that eAuto sends to JPJ in the deregistration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AATF's / PBT's Company Email Address (from Company Details - Company Email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admin@abcaatf.com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dereg@mbpj.gov.my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Owner's Email Address (from Deregistration Transaction Step 1 Perakuan)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eAuto Company ID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4150011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5020001</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Company Name or PBT's Full Name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ABC AATF SDN BHD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PETALING JAYA</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selection at Deregistration Transaction Step 2 PBT / Individu. If a PBT is selected, the PBT Shortform is sent. If Individu is selected, INDIVIDU is sent.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INDIVIDU</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MBPJ</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10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900101015678~0~VAN1234~CH12345678~EN12345678~admin@abcaatf.com~azli@example.com~4150011~ABC AATF SDN BHD~INDIVIDU</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900101015678~0~VAN1234~CH12345678~EN12345678~dereg@mbpj.gov.my~azli@example.com~5020001~MAJLIS BANDARAYA PETALING JAYA~MBPJ</w:t>
            </w:r>
          </w:p>
          <w:p/>
        </w:tc>
      </w:tr>
    </w:tbl>
    <w:p>
      <w:pPr>
        <w:pStyle w:val="Heading3"/>
        <w:keepNext/>
        <w:pageBreakBefore/>
        <w:spacing w:after="0" w:before="0" w:line="276" w:lineRule="auto"/>
      </w:pPr>
      <w:r>
        <w:rPr>
          <w:rFonts w:ascii="Roboto" w:cs="Roboto" w:eastAsia="Roboto" w:hAnsi="Roboto"/>
          <w:b/>
          <w:bCs/>
          <w:color w:val="0F4761"/>
        </w:rPr>
        <w:t xml:space="preserve">2.2.5.2  Certificate of Destruction Submission to JPJ (mySIKAP)</w:t>
      </w:r>
    </w:p>
    <w:p>
      <w:pPr>
        <w:spacing w:after="120" w:line="276" w:lineRule="auto"/>
      </w:pPr>
      <w:r>
        <w:rPr>
          <w:rFonts w:ascii="Roboto" w:cs="Roboto" w:eastAsia="Roboto" w:hAnsi="Roboto"/>
          <w:sz w:val="24"/>
          <w:szCs w:val="24"/>
        </w:rPr>
        <w:t xml:space="preserve">Fields that eAuto sends to JPJ mySIKAP in the Certificate of Destruction (COD)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Decomposition Date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DATE</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Date of Destruction (from Upload COD Step 2 Vehicle), in yyyy-mm-dd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Location</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Mailing Address (from Company Details - Mailing Address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LORONG 0/9-A &amp; B, JALAN 1, TAMAN 2, 55000 KUALA LUMPUR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JALAN YONG SHOOK LIN, SEKSYEN 52, 46200 PETALING JAYA, SELANGOR</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7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900101015678~0~VAN1234~CH12345678~EN12345678~2026-09-24~LORONG 0/9-A &amp; B, JALAN 1, TAMAN 2, 55000 KUALA LUMPUR</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900101015678~0~VAN1234~CH12345678~EN12345678~2026-09-24~JALAN YONG SHOOK LIN, SEKSYEN 52, 46200 PETALING JAYA, SELANGOR</w:t>
            </w:r>
          </w:p>
          <w:p/>
        </w:tc>
      </w:tr>
    </w:tbl>
    <w:p>
      <w:pPr>
        <w:pStyle w:val="Heading3"/>
        <w:keepNext/>
        <w:pageBreakBefore/>
        <w:spacing w:after="0" w:before="0" w:line="276" w:lineRule="auto"/>
      </w:pPr>
      <w:r>
        <w:rPr>
          <w:rFonts w:ascii="Roboto" w:cs="Roboto" w:eastAsia="Roboto" w:hAnsi="Roboto"/>
          <w:b/>
          <w:bCs/>
          <w:color w:val="0F4761"/>
        </w:rPr>
        <w:t xml:space="preserve">2.2.5.3  eDereg Pre-Checking Submission to JPJ (mySIKAP)</w:t>
      </w:r>
    </w:p>
    <w:p>
      <w:pPr>
        <w:spacing w:after="120" w:line="276" w:lineRule="auto"/>
      </w:pPr>
      <w:r>
        <w:rPr>
          <w:rFonts w:ascii="Roboto" w:cs="Roboto" w:eastAsia="Roboto" w:hAnsi="Roboto"/>
          <w:sz w:val="24"/>
          <w:szCs w:val="24"/>
        </w:rPr>
        <w:t xml:space="preserve">Fields that eAuto sends to JPJ mySIKAP in the eDereg Pre-Checking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 (from eDereg Pre-Checking Step 1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DateTime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date and time of the RHB payment for the pre-checking</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RHB Payment ID Ref 2 of the pre-checking payment (Section 2.2.6.1)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DPC260924000005</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receipt number generated by eAuto for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26092408070003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Ag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Revenue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Mode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E (Electronic Funds)</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Amount Paid</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DECIMAL</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JPJ Fee of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Registration Number (from Company Details - New Company Reg. No. field for AATF, Company Reg. No. field for PBT)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202001023456</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AKT/07/0701/0001</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Email1</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AATF's / PBT's Email, used to receive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precheck@mbpp.gov.my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Email2</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N</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eAuto's Email, receipt@eauto.my, used to receive a copy of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11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10:34:29.000~DPC260924000005~26092408070003~72404~2910002~E~5.00~202001023456~precheck@abcaatf.com~receipt@eauto.my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VAN1234~2026-09-24 10:34:29.000~DPC260924000005~[Pending Receipt No]~72404~2910002~E~5.00~AKT/07/0701/0001~precheck@mbpp.gov.my~receipt@eauto.my</w:t>
            </w:r>
          </w:p>
          <w:p/>
        </w:tc>
      </w:tr>
    </w:tbl>
    <w:p>
      <w:pPr>
        <w:pStyle w:val="Heading3"/>
        <w:keepNext/>
        <w:pageBreakBefore/>
        <w:spacing w:after="0" w:before="0" w:line="276" w:lineRule="auto"/>
      </w:pPr>
      <w:r>
        <w:rPr>
          <w:rFonts w:ascii="Roboto" w:cs="Roboto" w:eastAsia="Roboto" w:hAnsi="Roboto"/>
          <w:b/>
          <w:bCs/>
          <w:color w:val="0F4761"/>
        </w:rPr>
        <w:t xml:space="preserve">2.2.5.4  PBT Shortform for Duplicated Abbreviations</w:t>
      </w:r>
    </w:p>
    <w:p>
      <w:pPr>
        <w:spacing w:after="120" w:line="276" w:lineRule="auto"/>
      </w:pPr>
      <w:r>
        <w:rPr>
          <w:rFonts w:ascii="Roboto" w:cs="Roboto" w:eastAsia="Roboto" w:hAnsi="Roboto"/>
          <w:sz w:val="24"/>
          <w:szCs w:val="24"/>
          <w:highlight w:val="cyan"/>
        </w:rPr>
        <w:t xml:space="preserve">PBT Shortform sent in the PBT Name field of the deregistration submission when an Abbreviation is shared by 2 or more PBT organisations. The PBT Shortform is MD, MP, MB or DB followed by the place name without spaces. Where the place name has 2 or more words, each word except the last is shortened to its first letter, for example MPKKangsar for Majlis Perbandaran Kuala Kangsar. The PBT Name field accepts up to 10 characters. Where the rule gives more than 10 characters, the PBT Shortform is cut to the first 10 characters: MPKSamarah, MPKSelango, MPPenampan and MPPengeran.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4600"/>
        <w:gridCol w:w="2000"/>
        <w:gridCol w:w="3008"/>
        <w:gridCol w:w="1300"/>
        <w:gridCol w:w="250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6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Official PBT Name</w:t>
            </w:r>
          </w:p>
        </w:tc>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w:t>
            </w:r>
          </w:p>
        </w:tc>
        <w:tc>
          <w:tcPr>
            <w:tcW w:type="dxa" w:w="3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Shortform Sent</w:t>
            </w:r>
          </w:p>
        </w:tc>
        <w:tc>
          <w:tcPr>
            <w:tcW w:type="dxa" w:w="1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2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Within Limit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GEDONG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MDGedong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GERIK</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MDGerik</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KENINGAU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MDKeningau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MDKerian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REMBAU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MDRembau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ROMPIN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MDRompin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MDSerian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SUBIS</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MDSubis</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KANGSAR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MPKKangsar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KULIM</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MPKulim</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KOTA SAMARAHAN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MPKSamarah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SELANGOR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MPKSelango</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MANJUNG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MPManjung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MUAR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MPMuar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PADAWAN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MPPadawan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MPPekan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PENAMPANG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MPPenampan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PENGERANG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MPPengeran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SANDAKAN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MPSandakan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SEGAMAT</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MPSegamat</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SELAYANG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MPSelayang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TAIPING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MPTaiping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TAWAU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MPTawau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46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TEMERLOH</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MPTemerloh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Yes</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rPr>
              <w:t xml:space="preserve">b. Year is the last digit of the year.</w:t>
            </w:r>
          </w:p>
          <w:p/>
          <w:p>
            <w:pPr>
              <w:spacing w:after="0" w:before="0"/>
            </w:pPr>
            <w:r>
              <w:rPr>
                <w:rFonts w:ascii="Roboto" w:cs="Roboto" w:eastAsia="Roboto" w:hAnsi="Roboto"/>
                <w:sz w:val="24"/>
                <w:szCs w:val="24"/>
              </w:rPr>
              <w:t xml:space="preserve">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 in September 2026</w:t>
            </w:r>
          </w:p>
          <w:p>
            <w:pPr>
              <w:spacing w:after="0" w:before="0"/>
            </w:pPr>
            <w:r>
              <w:rPr>
                <w:rFonts w:ascii="Roboto" w:cs="Roboto" w:eastAsia="Roboto" w:hAnsi="Roboto"/>
                <w:sz w:val="24"/>
                <w:szCs w:val="24"/>
              </w:rPr>
              <w:t xml:space="preserve">a. Transaction number begins with PBT69, for example PBT690000001.</w:t>
            </w:r>
          </w:p>
          <w:p/>
          <w:p>
            <w:pPr>
              <w:spacing w:after="0" w:before="0"/>
            </w:pPr>
            <w:r>
              <w:rPr>
                <w:rFonts w:ascii="Roboto" w:cs="Roboto" w:eastAsia="Roboto" w:hAnsi="Roboto"/>
                <w:b/>
                <w:bCs/>
                <w:sz w:val="24"/>
                <w:szCs w:val="24"/>
              </w:rPr>
              <w:t xml:space="preserve">Example 2: Transaction created by a PBT user in October 2026</w:t>
            </w:r>
          </w:p>
          <w:p>
            <w:pPr>
              <w:spacing w:after="0" w:before="0"/>
            </w:pPr>
            <w:r>
              <w:rPr>
                <w:rFonts w:ascii="Roboto" w:cs="Roboto" w:eastAsia="Roboto" w:hAnsi="Roboto"/>
                <w:sz w:val="24"/>
                <w:szCs w:val="24"/>
              </w:rPr>
              <w:t xml:space="preserve">a. Transaction number begins with PBT60.</w:t>
            </w:r>
          </w:p>
          <w:p/>
          <w:p>
            <w:pPr>
              <w:spacing w:after="0" w:before="0"/>
            </w:pPr>
            <w:r>
              <w:rPr>
                <w:rFonts w:ascii="Roboto" w:cs="Roboto" w:eastAsia="Roboto" w:hAnsi="Roboto"/>
                <w:b/>
                <w:bCs/>
                <w:sz w:val="24"/>
                <w:szCs w:val="24"/>
              </w:rPr>
              <w:t xml:space="preserve">Example 3: Transaction created by a PBT user in November 2026</w:t>
            </w:r>
          </w:p>
          <w:p>
            <w:pPr>
              <w:spacing w:after="0" w:before="0"/>
            </w:pPr>
            <w:r>
              <w:rPr>
                <w:rFonts w:ascii="Roboto" w:cs="Roboto" w:eastAsia="Roboto" w:hAnsi="Roboto"/>
                <w:sz w:val="24"/>
                <w:szCs w:val="24"/>
              </w:rPr>
              <w:t xml:space="preserve">a. Transaction number begins with PBT6N.</w:t>
            </w:r>
          </w:p>
          <w:p/>
          <w:p>
            <w:pPr>
              <w:spacing w:after="0" w:before="0"/>
            </w:pPr>
            <w:r>
              <w:rPr>
                <w:rFonts w:ascii="Roboto" w:cs="Roboto" w:eastAsia="Roboto" w:hAnsi="Roboto"/>
                <w:b/>
                <w:bCs/>
                <w:sz w:val="24"/>
                <w:szCs w:val="24"/>
              </w:rPr>
              <w:t xml:space="preserve">Example 4: Transaction created by a PBT user in December 2026</w:t>
            </w:r>
          </w:p>
          <w:p>
            <w:pPr>
              <w:spacing w:after="0" w:before="0"/>
            </w:pPr>
            <w:r>
              <w:rPr>
                <w:rFonts w:ascii="Roboto" w:cs="Roboto" w:eastAsia="Roboto" w:hAnsi="Roboto"/>
                <w:sz w:val="24"/>
                <w:szCs w:val="24"/>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p>
            <w:pPr>
              <w:spacing w:after="0" w:before="0"/>
            </w:pPr>
            <w:r>
              <w:rPr>
                <w:rFonts w:ascii="Roboto" w:cs="Roboto" w:eastAsia="Roboto" w:hAnsi="Roboto"/>
                <w:sz w:val="24"/>
                <w:szCs w:val="24"/>
                <w:highlight w:val="yellow"/>
              </w:rPr>
              <w:t xml:space="preserve">Whether the 13 character PBTPC number fits the fields passed to RHB and JPJ is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cyan"/>
              </w:rPr>
              <w:t xml:space="preserve">a. A payment made by a PBT user uses the PBT RHB Payment ID set in Section 2.2.6.1. TransType stays DRG or DPC. Ref 1 is P followed by the AATF prefix, for example PDRG260924000005-PUTRAJAYA1234 for deregistration and PDPC260924000005-PUTRAJAYA1234 for pre-checking.</w:t>
            </w:r>
          </w:p>
          <w:p>
            <w:pPr>
              <w:spacing w:after="0" w:before="0"/>
              <w:ind w:left="360" w:hanging="240"/>
            </w:pPr>
            <w:r>
              <w:rPr>
                <w:rFonts w:ascii="Roboto" w:cs="Roboto" w:eastAsia="Roboto" w:hAnsi="Roboto"/>
                <w:sz w:val="24"/>
                <w:szCs w:val="24"/>
                <w:highlight w:val="cyan"/>
              </w:rPr>
              <w:t xml:space="preserve">b. Ref 2 for a PBT payment stays the same as AATF: DRG for deregistration, and DPC followed by year, month, day and a 6 digit running number for pre-checking.</w:t>
            </w:r>
          </w:p>
          <w:p>
            <w:pPr>
              <w:spacing w:after="0" w:before="0"/>
              <w:ind w:left="360" w:hanging="240"/>
            </w:pPr>
            <w:r>
              <w:rPr>
                <w:rFonts w:ascii="Roboto" w:cs="Roboto" w:eastAsia="Roboto" w:hAnsi="Roboto"/>
                <w:sz w:val="24"/>
                <w:szCs w:val="24"/>
                <w:highlight w:val="cyan"/>
              </w:rPr>
              <w:t xml:space="preserve">c. A payment made by an AATF user keeps the existing RHB Payment ID set.</w:t>
            </w:r>
          </w:p>
          <w:p>
            <w:pPr>
              <w:spacing w:after="0" w:before="0"/>
              <w:ind w:left="360" w:hanging="240"/>
            </w:pPr>
            <w:r>
              <w:rPr>
                <w:rFonts w:ascii="Roboto" w:cs="Roboto" w:eastAsia="Roboto" w:hAnsi="Roboto"/>
                <w:sz w:val="24"/>
                <w:szCs w:val="24"/>
                <w:highlight w:val="cyan"/>
              </w:rPr>
              <w:t xml:space="preserve">d. JPJ and RHB each accept a Payment ID of up to 30 characters.</w:t>
            </w:r>
          </w:p>
          <w:p>
            <w:pPr>
              <w:spacing w:after="0" w:before="0"/>
              <w:ind w:left="360" w:hanging="240"/>
            </w:pPr>
            <w:r>
              <w:rPr>
                <w:rFonts w:ascii="Roboto" w:cs="Roboto" w:eastAsia="Roboto" w:hAnsi="Roboto"/>
                <w:sz w:val="24"/>
                <w:szCs w:val="24"/>
                <w:highlight w:val="cyan"/>
              </w:rPr>
              <w:t xml:space="preserve">e. RHB payment information for AATF and PBT is listed in Section 2.2.6.1.</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or pre-checking payment made by a PBT user</w:t>
            </w:r>
          </w:p>
          <w:p>
            <w:pPr>
              <w:spacing w:after="0" w:before="0"/>
            </w:pPr>
            <w:r>
              <w:rPr>
                <w:rFonts w:ascii="Roboto" w:cs="Roboto" w:eastAsia="Roboto" w:hAnsi="Roboto"/>
                <w:sz w:val="24"/>
                <w:szCs w:val="24"/>
              </w:rPr>
              <w:t xml:space="preserve">a. The RHB Payment ID is issued from the PBT set.</w:t>
            </w:r>
          </w:p>
          <w:p/>
          <w:p>
            <w:pPr>
              <w:spacing w:after="0" w:before="0"/>
            </w:pPr>
            <w:r>
              <w:rPr>
                <w:rFonts w:ascii="Roboto" w:cs="Roboto" w:eastAsia="Roboto" w:hAnsi="Roboto"/>
                <w:b/>
                <w:bCs/>
                <w:sz w:val="24"/>
                <w:szCs w:val="24"/>
              </w:rPr>
              <w:t xml:space="preserve">Example 2: Deregistration or pre-checking payment made by an AATF user</w:t>
            </w:r>
          </w:p>
          <w:p>
            <w:pPr>
              <w:spacing w:after="0" w:before="0"/>
            </w:pPr>
            <w:r>
              <w:rPr>
                <w:rFonts w:ascii="Roboto" w:cs="Roboto" w:eastAsia="Roboto" w:hAnsi="Roboto"/>
                <w:sz w:val="24"/>
                <w:szCs w:val="24"/>
              </w:rPr>
              <w:t xml:space="preserve">a. The RHB Payment ID is issued from the existing set as before this enhancement.</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PDRG260924000005-PUTRAJAYA1234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DPC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DPC260924000005-VAN1234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PDPC260924000005-PUTRAJAYA1234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DPC260924000005</w:t>
            </w:r>
          </w:p>
          <w:p/>
        </w:tc>
      </w:tr>
    </w:tbl>
    <w:p>
      <w:pPr>
        <w:spacing w:after="0" w:before="0"/>
      </w:pPr>
      <w:r>
        <w:rPr>
          <w:rFonts w:ascii="Roboto" w:cs="Roboto" w:eastAsia="Roboto" w:hAnsi="Roboto"/>
          <w:sz w:val="24"/>
          <w:szCs w:val="24"/>
        </w:rPr>
        <w:t xml:space="preserve"/>
      </w:r>
    </w:p>
    <w:p>
      <w:pPr>
        <w:spacing w:after="120" w:line="276" w:lineRule="auto"/>
      </w:pPr>
      <w:r>
        <w:rPr>
          <w:rFonts w:ascii="Roboto" w:cs="Roboto" w:eastAsia="Roboto" w:hAnsi="Roboto"/>
          <w:sz w:val="24"/>
          <w:szCs w:val="24"/>
          <w:highlight w:val="cyan"/>
        </w:rPr>
        <w:t xml:space="preserve">PBT examples use PUTRAJAYA1234, the longest vehicle registration number, to show the maximum length. PBT Ref 1 is P followed by the AATF prefix (PDRG or PDPC), year, month, day, a 6 digit running number, then the vehicle number. Both PBT Ref 1 examples are 30 characters, within the 30 character limit of JPJ and RHB. PBT Ref 2 stays the same as AATF.</w:t>
      </w:r>
    </w:p>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rPr>
              <w:t xml:space="preserve">b. The PBT filter has All selected by default, followed by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rPr>
              <w:t xml:space="preserve">a. Upload COD is a hyperlink in the Action column of DEREGISTRATION TRANSACTION LISTING, reached from the eDEREG module on the homepage. It displays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rPr>
              <w:t xml:space="preserve">e. Company labels display as PBT labels, and Company Reg. No. shows the PBT Registration Number.</w:t>
            </w:r>
          </w:p>
          <w:p>
            <w:pPr>
              <w:spacing w:after="0" w:before="0"/>
              <w:ind w:left="360" w:hanging="240"/>
            </w:pPr>
            <w:r>
              <w:rPr>
                <w:rFonts w:ascii="Roboto" w:cs="Roboto" w:eastAsia="Roboto" w:hAnsi="Roboto"/>
                <w:sz w:val="24"/>
                <w:szCs w:val="24"/>
              </w:rPr>
              <w:t xml:space="preserve">f. The fields sent to JPJ mySIKAP on COD submission are listed in Section 2.2.5.2.</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rPr>
              <w:t xml:space="preserve">d. eDereg Pre-Checking Invoice page 3 shows the Perakuan signed at Pre-Checking Step 1.</w:t>
            </w:r>
          </w:p>
          <w:p>
            <w:pPr>
              <w:spacing w:after="0" w:before="0"/>
              <w:ind w:left="360" w:hanging="240"/>
            </w:pPr>
            <w:r>
              <w:rPr>
                <w:rFonts w:ascii="Roboto" w:cs="Roboto" w:eastAsia="Roboto" w:hAnsi="Roboto"/>
                <w:sz w:val="24"/>
                <w:szCs w:val="24"/>
              </w:rPr>
              <w:t xml:space="preserve">e. An e-Invoice is generated for a PBT transaction and submitted to LHDN (MyInvois Portal). Buyer TIN shows the TIN Number of the PBT account.</w:t>
            </w:r>
          </w:p>
          <w:p/>
          <w:p>
            <w:pPr>
              <w:spacing w:after="0" w:before="0"/>
              <w:ind w:left="360" w:hanging="240"/>
            </w:pPr>
            <w:r>
              <w:rPr>
                <w:rFonts w:ascii="Roboto" w:cs="Roboto" w:eastAsia="Roboto" w:hAnsi="Roboto"/>
                <w:sz w:val="24"/>
                <w:szCs w:val="24"/>
              </w:rPr>
              <w:t xml:space="preserve">f. Buyer Registration Number on the Invoice and e-Invoice, and No. Kad Pengenalan / No. Daftar Perniagaan on the eDereg Pre-Checking Invoice page 2, show the 1 Registration Number provided by LHDN (MyInvois Portal) to the PBT, for example AKT/07/0701/0001 for MAJLIS BANDARAYA PULAU PINANG.</w:t>
            </w:r>
          </w:p>
          <w:p/>
          <w:p>
            <w:pPr>
              <w:spacing w:after="0" w:before="0"/>
              <w:ind w:left="360" w:hanging="240"/>
            </w:pPr>
            <w:r>
              <w:rPr>
                <w:rFonts w:ascii="Roboto" w:cs="Roboto" w:eastAsia="Roboto" w:hAnsi="Roboto"/>
                <w:sz w:val="24"/>
                <w:szCs w:val="24"/>
                <w:highlight w:val="cyan"/>
              </w:rPr>
              <w:t xml:space="preserve">g. Buyer SST Registration Number on the e-Invoice shows the SST Registration Number of the PBT account (Company Details - SST Registration Number field), for example P11-1809-32000202 for MAJLIS BANDARAYA PULAU PINANG.</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rPr>
              <w:t xml:space="preserve">a. Buyer TIN shows F10320870040.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login access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 on the AATF and PBT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 mandatory with Same as Company Email checkbox</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account form fields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and deregistration flow access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Standard Payment Summary at Step 5 for PBT and AATF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 and PBT filter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eAuto Company ID sent in submission for a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RHB Payment ID set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Invoice and e-Invoice</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2026-10-14T09:26:32.205Z</dcterms:created>
  <dcterms:modified xsi:type="dcterms:W3CDTF">2026-10-14T09:26:32.206Z</dcterms:modified>
</cp:coreProperties>
</file>

<file path=docProps/custom.xml><?xml version="1.0" encoding="utf-8"?>
<Properties xmlns="http://schemas.openxmlformats.org/officeDocument/2006/custom-properties" xmlns:vt="http://schemas.openxmlformats.org/officeDocument/2006/docPropsVTypes"/>
</file>