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b/>
          <w:color w:val="1B365D"/>
          <w:sz w:val="48"/>
        </w:rPr>
        <w:t>SADIQ M. ALAM</w:t>
      </w:r>
    </w:p>
    <w:p>
      <w:pPr>
        <w:spacing w:before="0" w:after="120" w:line="276" w:lineRule="auto"/>
        <w:jc w:val="center"/>
      </w:pPr>
      <w:r>
        <w:rPr>
          <w:b/>
          <w:color w:val="5C6B73"/>
          <w:sz w:val="23"/>
        </w:rPr>
        <w:t>Certified Odoo Functional Consultant | Enterprise ERP Advisor | Chief Operating Officer (COO)</w:t>
      </w:r>
    </w:p>
    <w:p>
      <w:pPr>
        <w:spacing w:before="0" w:after="320" w:line="276" w:lineRule="auto"/>
        <w:jc w:val="center"/>
      </w:pPr>
      <w:r>
        <w:rPr>
          <w:sz w:val="19"/>
        </w:rPr>
        <w:t>📍 Dhaka, Bangladesh</w:t>
      </w:r>
      <w:r>
        <w:rPr>
          <w:color w:val="5C6B73"/>
          <w:sz w:val="19"/>
        </w:rPr>
        <w:t xml:space="preserve">   |   </w:t>
      </w:r>
      <w:r>
        <w:rPr>
          <w:sz w:val="19"/>
        </w:rPr>
        <w:t>📞 +8801924572887 / +8801711056474</w:t>
      </w:r>
      <w:r>
        <w:rPr>
          <w:color w:val="5C6B73"/>
          <w:sz w:val="19"/>
        </w:rPr>
        <w:t xml:space="preserve">   |   </w:t>
      </w:r>
      <w:r>
        <w:rPr>
          <w:sz w:val="19"/>
        </w:rPr>
        <w:t>📧 hello@sadiqalam.com</w:t>
      </w:r>
      <w:r>
        <w:rPr>
          <w:color w:val="5C6B73"/>
          <w:sz w:val="19"/>
        </w:rPr>
        <w:t xml:space="preserve">   |   </w:t>
      </w:r>
      <w:r>
        <w:rPr>
          <w:sz w:val="19"/>
        </w:rPr>
        <w:t>🌐 sadiqalam.com</w:t>
      </w:r>
    </w:p>
    <w:p>
      <w:pPr>
        <w:keepNext/>
        <w:spacing w:before="280" w:after="120" w:line="276" w:lineRule="auto"/>
        <w:pBdr>
          <w:bottom w:val="single" w:sz="8" w:space="4" w:color="1B365D"/>
        </w:pBdr>
      </w:pPr>
      <w:r>
        <w:rPr>
          <w:b/>
          <w:color w:val="1B365D"/>
          <w:sz w:val="25"/>
        </w:rPr>
        <w:t>EXECUTIVE SUMMARY</w:t>
      </w:r>
    </w:p>
    <w:p>
      <w:pPr>
        <w:spacing w:before="80" w:after="160" w:line="288" w:lineRule="auto"/>
      </w:pPr>
      <w:r>
        <w:t>Strategic communications professional, enterprise architect, and technology leader with over two decades of multidisciplinary experience across IT, engineering, and business digital transformation. Currently serves as the Chief Operating Officer (COO) of Metamorphosis Ltd., an Official Odoo Country Partner in Bangladesh. With nearly a decade of dedicated hands-on Odoo ERP consulting experience, has spearheaded over 35 successful end-to-end implementations across diverse industries globally. Renowned for bridging complex operational requirements with out-of-the-box ERP capabilities, minimizing customization debt, and architecting resilient, automated digital ecosystems that drive tangible business ROI and operational excellence.</w:t>
      </w:r>
    </w:p>
    <w:p>
      <w:pPr>
        <w:keepNext/>
        <w:spacing w:before="280" w:after="120" w:line="276" w:lineRule="auto"/>
        <w:pBdr>
          <w:bottom w:val="single" w:sz="8" w:space="4" w:color="1B365D"/>
        </w:pBdr>
      </w:pPr>
      <w:r>
        <w:rPr>
          <w:b/>
          <w:color w:val="1B365D"/>
          <w:sz w:val="25"/>
        </w:rPr>
        <w:t>CORE COMPETENCIES &amp; EXPERTISE</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F4F6F9"/>
            <w:tcMar>
              <w:top w:w="120" w:type="dxa"/>
              <w:bottom w:w="120" w:type="dxa"/>
              <w:left w:w="120" w:type="dxa"/>
              <w:right w:w="120" w:type="dxa"/>
            </w:tcMar>
          </w:tcPr>
          <w:p>
            <w:pPr>
              <w:spacing w:before="0" w:after="80" w:line="276" w:lineRule="auto"/>
            </w:pPr>
            <w:r>
              <w:rPr>
                <w:b/>
                <w:color w:val="1B365D"/>
                <w:sz w:val="21"/>
              </w:rPr>
              <w:t>ERP &amp; System Architecture</w:t>
            </w:r>
          </w:p>
          <w:p>
            <w:pPr>
              <w:spacing w:before="40" w:after="40" w:line="264" w:lineRule="auto"/>
            </w:pPr>
            <w:r>
              <w:rPr>
                <w:sz w:val="19"/>
              </w:rPr>
              <w:t>• End-to-End Odoo ERP Lifecycle</w:t>
            </w:r>
          </w:p>
          <w:p>
            <w:pPr>
              <w:spacing w:before="40" w:after="40" w:line="264" w:lineRule="auto"/>
            </w:pPr>
            <w:r>
              <w:rPr>
                <w:sz w:val="19"/>
              </w:rPr>
              <w:t>• Implementation Oversight &amp; QA</w:t>
            </w:r>
          </w:p>
          <w:p>
            <w:pPr>
              <w:spacing w:before="40" w:after="40" w:line="264" w:lineRule="auto"/>
            </w:pPr>
            <w:r>
              <w:rPr>
                <w:sz w:val="19"/>
              </w:rPr>
              <w:t>• Module Selection &amp; Advisory</w:t>
            </w:r>
          </w:p>
          <w:p>
            <w:pPr>
              <w:spacing w:before="40" w:after="40" w:line="264" w:lineRule="auto"/>
            </w:pPr>
            <w:r>
              <w:rPr>
                <w:sz w:val="19"/>
              </w:rPr>
              <w:t>• Supply Chain &amp; Inventory Automation</w:t>
            </w:r>
          </w:p>
          <w:p>
            <w:pPr>
              <w:spacing w:before="40" w:after="40" w:line="264" w:lineRule="auto"/>
            </w:pPr>
            <w:r>
              <w:rPr>
                <w:sz w:val="19"/>
              </w:rPr>
              <w:t>• Headless Commerce Solutions</w:t>
            </w:r>
          </w:p>
          <w:p>
            <w:pPr>
              <w:spacing w:before="40" w:after="40" w:line="264" w:lineRule="auto"/>
            </w:pPr>
            <w:r>
              <w:rPr>
                <w:sz w:val="19"/>
              </w:rPr>
              <w:t>• Seamless Version Upgrades (v17-19)</w:t>
            </w:r>
          </w:p>
        </w:tc>
        <w:tc>
          <w:tcPr>
            <w:tcW w:type="dxa" w:w="3312"/>
            <w:shd w:val="clear" w:color="auto" w:fill="F4F6F9"/>
            <w:tcMar>
              <w:top w:w="120" w:type="dxa"/>
              <w:bottom w:w="120" w:type="dxa"/>
              <w:left w:w="120" w:type="dxa"/>
              <w:right w:w="120" w:type="dxa"/>
            </w:tcMar>
          </w:tcPr>
          <w:p>
            <w:pPr>
              <w:spacing w:before="0" w:after="80" w:line="276" w:lineRule="auto"/>
            </w:pPr>
            <w:r>
              <w:rPr>
                <w:b/>
                <w:color w:val="1B365D"/>
                <w:sz w:val="21"/>
              </w:rPr>
              <w:t>Strategic &amp; Business Leadership</w:t>
            </w:r>
          </w:p>
          <w:p>
            <w:pPr>
              <w:spacing w:before="40" w:after="40" w:line="264" w:lineRule="auto"/>
            </w:pPr>
            <w:r>
              <w:rPr>
                <w:sz w:val="19"/>
              </w:rPr>
              <w:t>• Digital Transformation Strategy</w:t>
            </w:r>
          </w:p>
          <w:p>
            <w:pPr>
              <w:spacing w:before="40" w:after="40" w:line="264" w:lineRule="auto"/>
            </w:pPr>
            <w:r>
              <w:rPr>
                <w:sz w:val="19"/>
              </w:rPr>
              <w:t>• Enterprise Architecture</w:t>
            </w:r>
          </w:p>
          <w:p>
            <w:pPr>
              <w:spacing w:before="40" w:after="40" w:line="264" w:lineRule="auto"/>
            </w:pPr>
            <w:r>
              <w:rPr>
                <w:sz w:val="19"/>
              </w:rPr>
              <w:t>• Systems Thinking &amp; Flow Design</w:t>
            </w:r>
          </w:p>
          <w:p>
            <w:pPr>
              <w:spacing w:before="40" w:after="40" w:line="264" w:lineRule="auto"/>
            </w:pPr>
            <w:r>
              <w:rPr>
                <w:sz w:val="19"/>
              </w:rPr>
              <w:t>• Business Process Optimization</w:t>
            </w:r>
          </w:p>
          <w:p>
            <w:pPr>
              <w:spacing w:before="40" w:after="40" w:line="264" w:lineRule="auto"/>
            </w:pPr>
            <w:r>
              <w:rPr>
                <w:sz w:val="19"/>
              </w:rPr>
              <w:t>• Cross-Functional Leadership</w:t>
            </w:r>
          </w:p>
          <w:p>
            <w:pPr>
              <w:spacing w:before="40" w:after="40" w:line="264" w:lineRule="auto"/>
            </w:pPr>
            <w:r>
              <w:rPr>
                <w:sz w:val="19"/>
              </w:rPr>
              <w:t>• Customization Debt Mitigation</w:t>
            </w:r>
          </w:p>
        </w:tc>
        <w:tc>
          <w:tcPr>
            <w:tcW w:type="dxa" w:w="3312"/>
            <w:shd w:val="clear" w:color="auto" w:fill="F4F6F9"/>
            <w:tcMar>
              <w:top w:w="120" w:type="dxa"/>
              <w:bottom w:w="120" w:type="dxa"/>
              <w:left w:w="120" w:type="dxa"/>
              <w:right w:w="120" w:type="dxa"/>
            </w:tcMar>
          </w:tcPr>
          <w:p>
            <w:pPr>
              <w:spacing w:before="0" w:after="80" w:line="276" w:lineRule="auto"/>
            </w:pPr>
            <w:r>
              <w:rPr>
                <w:b/>
                <w:color w:val="1B365D"/>
                <w:sz w:val="21"/>
              </w:rPr>
              <w:t>AI &amp; Workflow Automation</w:t>
            </w:r>
          </w:p>
          <w:p>
            <w:pPr>
              <w:spacing w:before="40" w:after="40" w:line="264" w:lineRule="auto"/>
            </w:pPr>
            <w:r>
              <w:rPr>
                <w:sz w:val="19"/>
              </w:rPr>
              <w:t>• AI-Driven Business Transformation</w:t>
            </w:r>
          </w:p>
          <w:p>
            <w:pPr>
              <w:spacing w:before="40" w:after="40" w:line="264" w:lineRule="auto"/>
            </w:pPr>
            <w:r>
              <w:rPr>
                <w:sz w:val="19"/>
              </w:rPr>
              <w:t>• Secure &amp; Closed AI Systems</w:t>
            </w:r>
          </w:p>
          <w:p>
            <w:pPr>
              <w:spacing w:before="40" w:after="40" w:line="264" w:lineRule="auto"/>
            </w:pPr>
            <w:r>
              <w:rPr>
                <w:sz w:val="19"/>
              </w:rPr>
              <w:t>• AI for Research &amp; Strategic Insights</w:t>
            </w:r>
          </w:p>
          <w:p>
            <w:pPr>
              <w:spacing w:before="40" w:after="40" w:line="264" w:lineRule="auto"/>
            </w:pPr>
            <w:r>
              <w:rPr>
                <w:sz w:val="19"/>
              </w:rPr>
              <w:t>• Workflow &amp; Planning Automation</w:t>
            </w:r>
          </w:p>
          <w:p>
            <w:pPr>
              <w:spacing w:before="40" w:after="40" w:line="264" w:lineRule="auto"/>
            </w:pPr>
            <w:r>
              <w:rPr>
                <w:sz w:val="19"/>
              </w:rPr>
              <w:t>• Digital Marketing Integration</w:t>
            </w:r>
          </w:p>
          <w:p>
            <w:pPr>
              <w:spacing w:before="40" w:after="40" w:line="264" w:lineRule="auto"/>
            </w:pPr>
            <w:r>
              <w:rPr>
                <w:sz w:val="19"/>
              </w:rPr>
              <w:t>• AI Fluency &amp; Modeling Frameworks</w:t>
            </w:r>
          </w:p>
        </w:tc>
      </w:tr>
    </w:tbl>
    <w:p>
      <w:pPr>
        <w:spacing w:before="80" w:after="0" w:line="276" w:lineRule="auto"/>
      </w:pPr>
    </w:p>
    <w:p>
      <w:pPr>
        <w:keepNext/>
        <w:spacing w:before="280" w:after="120" w:line="276" w:lineRule="auto"/>
        <w:pBdr>
          <w:bottom w:val="single" w:sz="8" w:space="4" w:color="1B365D"/>
        </w:pBdr>
      </w:pPr>
      <w:r>
        <w:rPr>
          <w:b/>
          <w:color w:val="1B365D"/>
          <w:sz w:val="25"/>
        </w:rPr>
        <w:t>PROFESSIONAL EXPERIENCE</w:t>
      </w:r>
    </w:p>
    <w:p>
      <w:pPr>
        <w:keepNext/>
        <w:spacing w:before="80" w:after="40" w:line="276" w:lineRule="auto"/>
      </w:pPr>
      <w:r>
        <w:rPr>
          <w:b/>
          <w:color w:val="333333"/>
          <w:sz w:val="22"/>
        </w:rPr>
        <w:t>Chief Operating Officer (COO) &amp; Certified Odoo Functional Consultant</w:t>
      </w:r>
    </w:p>
    <w:p>
      <w:pPr>
        <w:keepNext/>
        <w:spacing w:before="0" w:after="120" w:line="276" w:lineRule="auto"/>
      </w:pPr>
      <w:r>
        <w:rPr>
          <w:b/>
          <w:color w:val="1B365D"/>
        </w:rPr>
        <w:t xml:space="preserve">Metamorphosis Ltd. (Official Odoo Country Partner, Bangladesh)  |  </w:t>
      </w:r>
      <w:r>
        <w:rPr>
          <w:i/>
          <w:color w:val="5C6B73"/>
        </w:rPr>
        <w:t>Present (10+ Years Industry Excellence)</w:t>
      </w:r>
    </w:p>
    <w:p>
      <w:pPr>
        <w:pStyle w:val="ListBullet"/>
        <w:spacing w:before="40" w:after="60" w:line="276" w:lineRule="auto"/>
      </w:pPr>
      <w:r>
        <w:rPr>
          <w:b/>
          <w:color w:val="333333"/>
        </w:rPr>
        <w:t xml:space="preserve">End-to-End ERP Leadership: </w:t>
      </w:r>
      <w:r>
        <w:rPr>
          <w:color w:val="333333"/>
        </w:rPr>
        <w:t>Architect and oversee comprehensive digital transformation initiatives for national and international enterprises, translating complex operational bottlenecks into streamlined, automated workflows.</w:t>
      </w:r>
    </w:p>
    <w:p>
      <w:pPr>
        <w:pStyle w:val="ListBullet"/>
        <w:spacing w:before="40" w:after="60" w:line="276" w:lineRule="auto"/>
      </w:pPr>
      <w:r>
        <w:rPr>
          <w:b/>
          <w:color w:val="333333"/>
        </w:rPr>
        <w:t xml:space="preserve">Implementation Oversight: </w:t>
      </w:r>
      <w:r>
        <w:rPr>
          <w:color w:val="333333"/>
        </w:rPr>
        <w:t>Spearheaded over 35 successful Odoo ERP deployments across manufacturing, retail, non-profit, and corporate sectors, consistently driving measurable ROI and operational efficiency.</w:t>
      </w:r>
    </w:p>
    <w:p>
      <w:pPr>
        <w:pStyle w:val="ListBullet"/>
        <w:spacing w:before="40" w:after="60" w:line="276" w:lineRule="auto"/>
      </w:pPr>
      <w:r>
        <w:rPr>
          <w:b/>
          <w:color w:val="333333"/>
        </w:rPr>
        <w:t xml:space="preserve">System Architecture &amp; Advisory: </w:t>
      </w:r>
      <w:r>
        <w:rPr>
          <w:color w:val="333333"/>
        </w:rPr>
        <w:t>Provide expert strategic advisory on Odoo module selection, enterprise architecture, and standard-compliant customizations to reduce technical debt and ensure scalable long-term growth.</w:t>
      </w:r>
    </w:p>
    <w:p>
      <w:pPr>
        <w:pStyle w:val="ListBullet"/>
        <w:spacing w:before="40" w:after="60" w:line="276" w:lineRule="auto"/>
      </w:pPr>
      <w:r>
        <w:rPr>
          <w:b/>
          <w:color w:val="333333"/>
        </w:rPr>
        <w:t xml:space="preserve">Seamless Version Migrations: </w:t>
      </w:r>
      <w:r>
        <w:rPr>
          <w:color w:val="333333"/>
        </w:rPr>
        <w:t>Direct cross-functional teams of business analysts and software developers in executing smooth enterprise upgrades across Odoo 17, 18, and 19 without disrupting critical business continuity.</w:t>
      </w:r>
    </w:p>
    <w:p>
      <w:pPr>
        <w:pStyle w:val="ListBullet"/>
        <w:spacing w:before="40" w:after="60" w:line="276" w:lineRule="auto"/>
      </w:pPr>
      <w:r>
        <w:rPr>
          <w:b/>
          <w:color w:val="333333"/>
        </w:rPr>
        <w:t xml:space="preserve">AI &amp; Workflow Integration: </w:t>
      </w:r>
      <w:r>
        <w:rPr>
          <w:color w:val="333333"/>
        </w:rPr>
        <w:t>Pioneer the integration of artificial intelligence and workflow automation into enterprise systems, strategic planning structures, and digital marketing operations.</w:t>
      </w:r>
    </w:p>
    <w:p>
      <w:pPr>
        <w:pStyle w:val="ListBullet"/>
        <w:spacing w:before="40" w:after="60" w:line="276" w:lineRule="auto"/>
      </w:pPr>
      <w:r>
        <w:rPr>
          <w:b/>
          <w:color w:val="333333"/>
        </w:rPr>
        <w:t xml:space="preserve">Global Client Management: </w:t>
      </w:r>
      <w:r>
        <w:rPr>
          <w:color w:val="333333"/>
        </w:rPr>
        <w:t>Advise and deliver strategic ERP consulting services to organizations across Bangladesh, New Zealand, Qatar, Saudi Arabia, Jordan, Spain, Dominican Republic, the UAE, and the Netherlands.</w:t>
      </w:r>
    </w:p>
    <w:p>
      <w:pPr>
        <w:keepNext/>
        <w:spacing w:before="160" w:after="40" w:line="276" w:lineRule="auto"/>
      </w:pPr>
      <w:r>
        <w:rPr>
          <w:b/>
          <w:color w:val="333333"/>
          <w:sz w:val="22"/>
        </w:rPr>
        <w:t>Early Career &amp; Strategic Enterprise Communications</w:t>
      </w:r>
    </w:p>
    <w:p>
      <w:pPr>
        <w:keepNext/>
        <w:spacing w:before="0" w:after="80" w:line="276" w:lineRule="auto"/>
      </w:pPr>
      <w:r>
        <w:rPr>
          <w:b/>
          <w:color w:val="1B365D"/>
        </w:rPr>
        <w:t xml:space="preserve">Various Technical &amp; Journalism Roles  |  </w:t>
      </w:r>
      <w:r>
        <w:rPr>
          <w:i/>
          <w:color w:val="5C6B73"/>
        </w:rPr>
        <w:t>Two Decades of Multidisciplinary Experience</w:t>
      </w:r>
    </w:p>
    <w:p>
      <w:pPr>
        <w:pStyle w:val="ListBullet"/>
        <w:spacing w:before="40" w:after="60" w:line="276" w:lineRule="auto"/>
      </w:pPr>
      <w:r>
        <w:rPr>
          <w:b/>
          <w:color w:val="333333"/>
        </w:rPr>
        <w:t xml:space="preserve">Technology Journalism &amp; Strategy: </w:t>
      </w:r>
      <w:r>
        <w:t>Developed a strong foundational background in tech journalism, digital strategy, and enterprise communications before transitioning into senior ERP leadership and systems architecture.</w:t>
      </w:r>
    </w:p>
    <w:p>
      <w:pPr>
        <w:pStyle w:val="ListBullet"/>
        <w:spacing w:before="40" w:after="60" w:line="276" w:lineRule="auto"/>
      </w:pPr>
      <w:r>
        <w:rPr>
          <w:b/>
          <w:color w:val="333333"/>
        </w:rPr>
        <w:t xml:space="preserve">Cross-Sector Bridge Building: </w:t>
      </w:r>
      <w:r>
        <w:t>Successfully bridged communication gaps between engineering teams, executive stakeholders, and business leadership through structured documentation, clear specifications, and analytical problem-solving.</w:t>
      </w:r>
    </w:p>
    <w:p>
      <w:pPr>
        <w:keepNext/>
        <w:spacing w:before="280" w:after="120" w:line="276" w:lineRule="auto"/>
        <w:pBdr>
          <w:bottom w:val="single" w:sz="8" w:space="4" w:color="1B365D"/>
        </w:pBdr>
      </w:pPr>
      <w:r>
        <w:rPr>
          <w:b/>
          <w:color w:val="1B365D"/>
          <w:sz w:val="25"/>
        </w:rPr>
        <w:t>KEY CLIENT IMPLEMENTATIONS &amp; INDUSTRY FOOTPRINT</w:t>
      </w:r>
    </w:p>
    <w:p>
      <w:pPr>
        <w:spacing w:before="80" w:after="120" w:line="276" w:lineRule="auto"/>
      </w:pPr>
      <w:r>
        <w:t>Trusted advisor and implementation leader for major enterprises, government bodies, and international organizations:</w:t>
      </w:r>
    </w:p>
    <w:p>
      <w:pPr>
        <w:pStyle w:val="ListBullet"/>
        <w:spacing w:before="40" w:after="60" w:line="276" w:lineRule="auto"/>
      </w:pPr>
      <w:r>
        <w:rPr>
          <w:b/>
          <w:color w:val="1B365D"/>
        </w:rPr>
        <w:t xml:space="preserve">Government &amp; Public Sector: </w:t>
      </w:r>
      <w:r>
        <w:t>Government of Bangladesh, Bangladesh Armed Services Board, Cox's Bazar Development Authority.</w:t>
      </w:r>
    </w:p>
    <w:p>
      <w:pPr>
        <w:pStyle w:val="ListBullet"/>
        <w:spacing w:before="40" w:after="60" w:line="276" w:lineRule="auto"/>
      </w:pPr>
      <w:r>
        <w:rPr>
          <w:b/>
          <w:color w:val="1B365D"/>
        </w:rPr>
        <w:t xml:space="preserve">International NGOs &amp; Development: </w:t>
      </w:r>
      <w:r>
        <w:t>Save the Children, CIRDAP (Centre on Integrated Rural Development for Asia and the Pacific).</w:t>
      </w:r>
    </w:p>
    <w:p>
      <w:pPr>
        <w:pStyle w:val="ListBullet"/>
        <w:spacing w:before="40" w:after="60" w:line="276" w:lineRule="auto"/>
      </w:pPr>
      <w:r>
        <w:rPr>
          <w:b/>
          <w:color w:val="1B365D"/>
        </w:rPr>
        <w:t xml:space="preserve">Corporate &amp; Commercial Enterprises: </w:t>
      </w:r>
      <w:r>
        <w:t>Honda, Grameen Danone, Green Tiger, Baatighar, Freshair Fitness, goRound, aat: events, CloudNotes.</w:t>
      </w:r>
    </w:p>
    <w:p>
      <w:pPr>
        <w:keepNext/>
        <w:spacing w:before="280" w:after="120" w:line="276" w:lineRule="auto"/>
        <w:pBdr>
          <w:bottom w:val="single" w:sz="8" w:space="4" w:color="1B365D"/>
        </w:pBdr>
      </w:pPr>
      <w:r>
        <w:rPr>
          <w:b/>
          <w:color w:val="1B365D"/>
          <w:sz w:val="25"/>
        </w:rPr>
        <w:t>EDUCATION</w:t>
      </w:r>
    </w:p>
    <w:p>
      <w:pPr>
        <w:spacing w:before="80" w:after="80" w:line="276" w:lineRule="auto"/>
      </w:pPr>
      <w:r>
        <w:rPr>
          <w:b/>
          <w:color w:val="333333"/>
          <w:sz w:val="21"/>
        </w:rPr>
        <w:t xml:space="preserve">Bangladesh University of Engineering and Technology (BUET)  </w:t>
      </w:r>
      <w:r>
        <w:rPr>
          <w:color w:val="5C6B73"/>
          <w:sz w:val="20"/>
        </w:rPr>
        <w:br/>
        <w:t>Alumnus — Focused on engineering architecture, analytical systems design, and foundational technology problem-solving.</w:t>
      </w:r>
    </w:p>
    <w:p>
      <w:pPr>
        <w:spacing w:before="80" w:after="80" w:line="276" w:lineRule="auto"/>
      </w:pPr>
      <w:r>
        <w:rPr>
          <w:b/>
          <w:color w:val="333333"/>
          <w:sz w:val="21"/>
        </w:rPr>
        <w:t xml:space="preserve">National University of Singapore (NUS)  </w:t>
      </w:r>
      <w:r>
        <w:rPr>
          <w:color w:val="5C6B73"/>
          <w:sz w:val="20"/>
        </w:rPr>
        <w:br/>
        <w:t>Alumnus — Enhanced global perspective and enterprise management insights through prestigious international academic exposure.</w:t>
      </w:r>
    </w:p>
    <w:p>
      <w:pPr>
        <w:keepNext/>
        <w:spacing w:before="280" w:after="120" w:line="276" w:lineRule="auto"/>
        <w:pBdr>
          <w:bottom w:val="single" w:sz="8" w:space="4" w:color="1B365D"/>
        </w:pBdr>
      </w:pPr>
      <w:r>
        <w:rPr>
          <w:b/>
          <w:color w:val="1B365D"/>
          <w:sz w:val="25"/>
        </w:rPr>
        <w:t>CERTIFICATIONS &amp; PROFESSIONAL CREDENTIALS</w:t>
      </w:r>
    </w:p>
    <w:tbl>
      <w:tblPr>
        <w:tblW w:type="auto" w:w="0"/>
        <w:jc w:val="center"/>
        <w:tblLayout w:type="fixed"/>
        <w:tblLook w:firstColumn="1" w:firstRow="1" w:lastColumn="0" w:lastRow="0" w:noHBand="0" w:noVBand="1" w:val="04A0"/>
      </w:tblPr>
      <w:tblGrid>
        <w:gridCol w:w="4968"/>
        <w:gridCol w:w="4968"/>
      </w:tblGrid>
      <w:tr>
        <w:tc>
          <w:tcPr>
            <w:tcW w:type="dxa" w:w="4968"/>
          </w:tcPr>
          <w:p/>
        </w:tc>
        <w:tc>
          <w:tcPr>
            <w:tcW w:type="dxa" w:w="4968"/>
          </w:tcPr>
          <w:p/>
        </w:tc>
      </w:tr>
      <w:tr>
        <w:tc>
          <w:tcPr>
            <w:tcW w:type="dxa" w:w="4968"/>
            <w:tcMar>
              <w:top w:w="60" w:type="dxa"/>
              <w:bottom w:w="60" w:type="dxa"/>
              <w:left w:w="60" w:type="dxa"/>
              <w:right w:w="60" w:type="dxa"/>
            </w:tcMar>
          </w:tcPr>
          <w:p>
            <w:pPr>
              <w:spacing w:before="40" w:after="40" w:line="264" w:lineRule="auto"/>
            </w:pPr>
            <w:r>
              <w:rPr>
                <w:b/>
                <w:color w:val="333333"/>
                <w:sz w:val="20"/>
              </w:rPr>
              <w:t>• Odoo Certified Functional Consultant</w:t>
              <w:br/>
            </w:r>
            <w:r>
              <w:rPr>
                <w:color w:val="5C6B73"/>
                <w:sz w:val="18"/>
              </w:rPr>
              <w:t xml:space="preserve">   Odoo S.A. | Verified Certificate (May 2023)</w:t>
            </w:r>
          </w:p>
        </w:tc>
        <w:tc>
          <w:tcPr>
            <w:tcW w:type="dxa" w:w="4968"/>
            <w:tcMar>
              <w:top w:w="60" w:type="dxa"/>
              <w:bottom w:w="60" w:type="dxa"/>
              <w:left w:w="60" w:type="dxa"/>
              <w:right w:w="60" w:type="dxa"/>
            </w:tcMar>
          </w:tcPr>
          <w:p>
            <w:pPr>
              <w:spacing w:before="40" w:after="40" w:line="264" w:lineRule="auto"/>
            </w:pPr>
            <w:r>
              <w:rPr>
                <w:b/>
                <w:color w:val="333333"/>
                <w:sz w:val="20"/>
              </w:rPr>
              <w:t>• Idean Certified Management Consultant (ICMC)</w:t>
              <w:br/>
            </w:r>
            <w:r>
              <w:rPr>
                <w:color w:val="5C6B73"/>
                <w:sz w:val="18"/>
              </w:rPr>
              <w:t xml:space="preserve">   Idean | Verified Strategy &amp; Transformation (May 2026)</w:t>
            </w:r>
          </w:p>
        </w:tc>
      </w:tr>
      <w:tr>
        <w:tc>
          <w:tcPr>
            <w:tcW w:type="dxa" w:w="4968"/>
            <w:tcMar>
              <w:top w:w="60" w:type="dxa"/>
              <w:bottom w:w="60" w:type="dxa"/>
              <w:left w:w="60" w:type="dxa"/>
              <w:right w:w="60" w:type="dxa"/>
            </w:tcMar>
          </w:tcPr>
          <w:p>
            <w:pPr>
              <w:spacing w:before="40" w:after="40" w:line="264" w:lineRule="auto"/>
            </w:pPr>
            <w:r>
              <w:rPr>
                <w:b/>
                <w:color w:val="333333"/>
                <w:sz w:val="20"/>
              </w:rPr>
              <w:t>• AI Fundamentals</w:t>
              <w:br/>
            </w:r>
            <w:r>
              <w:rPr>
                <w:color w:val="5C6B73"/>
                <w:sz w:val="18"/>
              </w:rPr>
              <w:t xml:space="preserve">   Google | Coursera Authorized Certification (Mar 2026)</w:t>
            </w:r>
          </w:p>
        </w:tc>
        <w:tc>
          <w:tcPr>
            <w:tcW w:type="dxa" w:w="4968"/>
            <w:tcMar>
              <w:top w:w="60" w:type="dxa"/>
              <w:bottom w:w="60" w:type="dxa"/>
              <w:left w:w="60" w:type="dxa"/>
              <w:right w:w="60" w:type="dxa"/>
            </w:tcMar>
          </w:tcPr>
          <w:p>
            <w:pPr>
              <w:spacing w:before="40" w:after="40" w:line="264" w:lineRule="auto"/>
            </w:pPr>
            <w:r>
              <w:rPr>
                <w:b/>
                <w:color w:val="333333"/>
                <w:sz w:val="20"/>
              </w:rPr>
              <w:t>• AI for Brainstorming and Planning</w:t>
              <w:br/>
            </w:r>
            <w:r>
              <w:rPr>
                <w:color w:val="5C6B73"/>
                <w:sz w:val="18"/>
              </w:rPr>
              <w:t xml:space="preserve">   Google | Coursera Authorized Certification (Mar 2026)</w:t>
            </w:r>
          </w:p>
        </w:tc>
      </w:tr>
      <w:tr>
        <w:tc>
          <w:tcPr>
            <w:tcW w:type="dxa" w:w="4968"/>
            <w:tcMar>
              <w:top w:w="60" w:type="dxa"/>
              <w:bottom w:w="60" w:type="dxa"/>
              <w:left w:w="60" w:type="dxa"/>
              <w:right w:w="60" w:type="dxa"/>
            </w:tcMar>
          </w:tcPr>
          <w:p>
            <w:pPr>
              <w:spacing w:before="40" w:after="40" w:line="264" w:lineRule="auto"/>
            </w:pPr>
            <w:r>
              <w:rPr>
                <w:b/>
                <w:color w:val="333333"/>
                <w:sz w:val="20"/>
              </w:rPr>
              <w:t>• AI for Research and Insights</w:t>
              <w:br/>
            </w:r>
            <w:r>
              <w:rPr>
                <w:color w:val="5C6B73"/>
                <w:sz w:val="18"/>
              </w:rPr>
              <w:t xml:space="preserve">   Google | Coursera Authorized Certification (Mar 2026)</w:t>
            </w:r>
          </w:p>
        </w:tc>
        <w:tc>
          <w:tcPr>
            <w:tcW w:type="dxa" w:w="4968"/>
            <w:tcMar>
              <w:top w:w="60" w:type="dxa"/>
              <w:bottom w:w="60" w:type="dxa"/>
              <w:left w:w="60" w:type="dxa"/>
              <w:right w:w="60" w:type="dxa"/>
            </w:tcMar>
          </w:tcPr>
          <w:p>
            <w:pPr>
              <w:spacing w:before="40" w:after="40" w:line="264" w:lineRule="auto"/>
            </w:pPr>
            <w:r>
              <w:rPr>
                <w:b/>
                <w:color w:val="333333"/>
                <w:sz w:val="20"/>
              </w:rPr>
              <w:t>• AI Fluency: Framework &amp; Foundations</w:t>
              <w:br/>
            </w:r>
            <w:r>
              <w:rPr>
                <w:color w:val="5C6B73"/>
                <w:sz w:val="18"/>
              </w:rPr>
              <w:t xml:space="preserve">   Anthropic / National Forum | Verified Frameworks (2026)</w:t>
            </w:r>
          </w:p>
        </w:tc>
      </w:tr>
      <w:tr>
        <w:tc>
          <w:tcPr>
            <w:tcW w:type="dxa" w:w="4968"/>
            <w:tcMar>
              <w:top w:w="60" w:type="dxa"/>
              <w:bottom w:w="60" w:type="dxa"/>
              <w:left w:w="60" w:type="dxa"/>
              <w:right w:w="60" w:type="dxa"/>
            </w:tcMar>
          </w:tcPr>
          <w:p>
            <w:pPr>
              <w:spacing w:before="40" w:after="40" w:line="264" w:lineRule="auto"/>
            </w:pPr>
            <w:r>
              <w:rPr>
                <w:b/>
                <w:color w:val="333333"/>
                <w:sz w:val="20"/>
              </w:rPr>
              <w:t>• AI Fluency for Educators</w:t>
              <w:br/>
            </w:r>
            <w:r>
              <w:rPr>
                <w:color w:val="5C6B73"/>
                <w:sz w:val="18"/>
              </w:rPr>
              <w:t xml:space="preserve">   Anthropic / National Forum | Verified Specialization (2026)</w:t>
            </w:r>
          </w:p>
        </w:tc>
        <w:tc>
          <w:tcPr>
            <w:tcW w:type="dxa" w:w="4968"/>
            <w:tcMar>
              <w:top w:w="60" w:type="dxa"/>
              <w:bottom w:w="60" w:type="dxa"/>
              <w:left w:w="60" w:type="dxa"/>
              <w:right w:w="60" w:type="dxa"/>
            </w:tcMar>
          </w:tcPr>
          <w:p>
            <w:pPr>
              <w:spacing w:before="40" w:after="40" w:line="264" w:lineRule="auto"/>
            </w:pPr>
            <w:r>
              <w:rPr>
                <w:b/>
                <w:color w:val="333333"/>
                <w:sz w:val="20"/>
              </w:rPr>
              <w:t>• Gemini Certified Educator</w:t>
              <w:br/>
            </w:r>
            <w:r>
              <w:rPr>
                <w:color w:val="5C6B73"/>
                <w:sz w:val="18"/>
              </w:rPr>
              <w:t xml:space="preserve">   Google for Education | Demonstrated AI Competency (Jan 2026)</w:t>
            </w:r>
          </w:p>
        </w:tc>
      </w:tr>
    </w:tbl>
    <w:p>
      <w:pPr>
        <w:spacing w:before="80" w:after="0" w:line="276" w:lineRule="auto"/>
      </w:pPr>
    </w:p>
    <w:p>
      <w:pPr>
        <w:keepNext/>
        <w:spacing w:before="280" w:after="120" w:line="276" w:lineRule="auto"/>
        <w:pBdr>
          <w:bottom w:val="single" w:sz="8" w:space="4" w:color="1B365D"/>
        </w:pBdr>
      </w:pPr>
      <w:r>
        <w:rPr>
          <w:b/>
          <w:color w:val="1B365D"/>
          <w:sz w:val="25"/>
        </w:rPr>
        <w:t>THOUGHT LEADERSHIP, SPEAKING &amp; PUBLICATIONS</w:t>
      </w:r>
    </w:p>
    <w:p>
      <w:pPr>
        <w:pStyle w:val="ListBullet"/>
        <w:spacing w:before="60" w:after="80" w:line="276" w:lineRule="auto"/>
      </w:pPr>
      <w:r>
        <w:rPr>
          <w:b/>
          <w:color w:val="1B365D"/>
        </w:rPr>
        <w:t xml:space="preserve">Published Thought Leader &amp; Author: </w:t>
      </w:r>
      <w:r>
        <w:t>Writes extensive industry analyses and technical whitepapers on enterprise architecture, ERP systems, and AI integration. Notable articles include:</w:t>
        <w:br/>
        <w:t xml:space="preserve">   – The Agentic Divide: How SAP and Odoo are Architecting the Future of ERP AI</w:t>
        <w:br/>
        <w:t xml:space="preserve">   – What is a Secured and Closed AI System? (Defense &amp; enterprise zero-data-bleed architecture)</w:t>
        <w:br/>
        <w:t xml:space="preserve">   – Odoo for Pharmaceuticals: 15 Pharma Supply Chain Bottlenecks &amp; How Odoo Fixes Them</w:t>
      </w:r>
    </w:p>
    <w:p>
      <w:pPr>
        <w:pStyle w:val="ListBullet"/>
        <w:spacing w:before="60" w:after="80" w:line="276" w:lineRule="auto"/>
      </w:pPr>
      <w:r>
        <w:rPr>
          <w:b/>
          <w:color w:val="1B365D"/>
        </w:rPr>
        <w:t xml:space="preserve">Academic &amp; Industry Judge: </w:t>
      </w:r>
      <w:r>
        <w:t>Invited evaluator and judge for Software Marketing final presentations of Computer Science &amp; Engineering (CSE) students at the Independent University, Bangladesh (IUB).</w:t>
      </w:r>
    </w:p>
    <w:p>
      <w:pPr>
        <w:pStyle w:val="ListBullet"/>
        <w:spacing w:before="60" w:after="80" w:line="276" w:lineRule="auto"/>
      </w:pPr>
      <w:r>
        <w:rPr>
          <w:b/>
          <w:color w:val="1B365D"/>
        </w:rPr>
        <w:t xml:space="preserve">Keynote Speaker &amp; Event Participant: </w:t>
      </w:r>
      <w:r>
        <w:t>Active speaker and participant in executive meetups and public commemorations, including the Consulting Accelerator Meetup and the Sirajul Alam Khan Memorial Address.</w:t>
      </w:r>
    </w:p>
    <w:p>
      <w:pPr>
        <w:keepNext/>
        <w:spacing w:before="280" w:after="120" w:line="276" w:lineRule="auto"/>
        <w:pBdr>
          <w:bottom w:val="single" w:sz="8" w:space="4" w:color="1B365D"/>
        </w:pBdr>
      </w:pPr>
      <w:r>
        <w:rPr>
          <w:b/>
          <w:color w:val="1B365D"/>
          <w:sz w:val="25"/>
        </w:rPr>
        <w:t>ADDITIONAL INFORMATION &amp; INTERESTS</w:t>
      </w:r>
    </w:p>
    <w:p>
      <w:pPr>
        <w:spacing w:before="80" w:after="160" w:line="288" w:lineRule="auto"/>
      </w:pPr>
      <w:r>
        <w:rPr>
          <w:b/>
          <w:color w:val="1B365D"/>
        </w:rPr>
        <w:t xml:space="preserve">Global Exposure &amp; Travel: </w:t>
      </w:r>
      <w:r>
        <w:t>Extensive international travel and cross-cultural experience spanning over 3 continents and 11 countries (including UK, Germany, Italy, Austria, USA, Singapore, Malaysia, India, Sri Lanka, Myanmar, and Brunei).</w:t>
        <w:br/>
      </w:r>
      <w:r>
        <w:rPr>
          <w:b/>
          <w:color w:val="1B365D"/>
        </w:rPr>
        <w:t xml:space="preserve">Personal Interests &amp; Philosophy: </w:t>
      </w:r>
      <w:r>
        <w:t>Student of history, religion, and mysticism. Firmly believes that understanding the human condition and organizational empathy is just as critical to digital transformation as understanding database schemas.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