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11D48"/>
        </w:rPr>
        <w:t>PHILOSOPHY OF AI · MODULE 4 · CHAPTER 1 (CHAPTER 14)</w:t>
        <w:br/>
      </w:r>
      <w:r>
        <w:rPr>
          <w:b/>
          <w:color w:val="881337"/>
          <w:sz w:val="28"/>
        </w:rPr>
        <w:t>CHAPTER I: 4.1 (A) How do we align the aims of autonomous AI systems with our own?</w:t>
        <w:br/>
      </w:r>
      <w:r>
        <w:rPr>
          <w:b/>
          <w:color w:val="E11D48"/>
          <w:sz w:val="24"/>
        </w:rPr>
        <w:t>അദ്ധ്യായം 1: സ്വയംഭരണ AI സംവിധാനങ്ങളുടെ പ്രവർത്തന ലക്ഷ്യങ്ങളെ നമ്മുടേതുമായി എങ്ങനെ പൊരുത്തപ്പെടുത്താം?</w:t>
        <w:br/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