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11D48"/>
        </w:rPr>
        <w:t>PHILOSOPHY OF AI · MODULE 4 · CHAPTER 5 (CHAPTER 18)</w:t>
        <w:br/>
      </w:r>
      <w:r>
        <w:rPr>
          <w:b/>
          <w:color w:val="881337"/>
          <w:sz w:val="28"/>
        </w:rPr>
        <w:t>CHAPTER V: 4.3 (A) What ethical rules should autonomous vehicles follow?</w:t>
        <w:br/>
      </w:r>
      <w:r>
        <w:rPr>
          <w:b/>
          <w:color w:val="E11D48"/>
          <w:sz w:val="24"/>
        </w:rPr>
        <w:t>അദ്ധ്യായം 5: സ്വയം നിയന്ത്രിത വാഹനങ്ങൾ ഏതെല്ലാം ധാർമ്മിക നിയമങ്ങൾ പാലിക്കണം?</w:t>
        <w:br/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