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
        <w:t>Methods — In Silico Arm</w:t>
      </w:r>
    </w:p>
    <w:p>
      <w:pPr>
        <w:spacing w:after="160"/>
      </w:pPr>
      <w:r>
        <w:rPr>
          <w:b/>
        </w:rPr>
        <w:t>Study:</w:t>
      </w:r>
      <w:r>
        <w:t xml:space="preserve"> Computational prediction and design evaluation of the cytotoxic activity of </w:t>
      </w:r>
      <w:r>
        <w:rPr>
          <w:i/>
        </w:rPr>
        <w:t>Moringa oleifera</w:t>
      </w:r>
      <w:r>
        <w:t xml:space="preserve"> (malunggay) ethanolic bark extract against A549 human lung adenocarcinoma cells</w:t>
      </w:r>
    </w:p>
    <w:p>
      <w:pPr>
        <w:spacing w:after="160"/>
      </w:pPr>
      <w:r>
        <w:rPr>
          <w:b/>
        </w:rPr>
        <w:t>Companion to:</w:t>
      </w:r>
      <w:r>
        <w:t xml:space="preserve"> "In Vitro Cytotoxic Activity of Malunggay's (</w:t>
      </w:r>
      <w:r>
        <w:rPr>
          <w:i/>
        </w:rPr>
        <w:t>Moringa oleifera</w:t>
      </w:r>
      <w:r>
        <w:t>) Ethanolic Bark Extract against A549 Lung Cancer Cells" (Dalistan, Roque, Soriano, Salvilla)</w:t>
      </w:r>
    </w:p>
    <w:p>
      <w:pPr>
        <w:spacing w:after="160"/>
      </w:pPr>
      <w:r>
        <w:rPr>
          <w:b/>
        </w:rPr>
        <w:t>Document version:</w:t>
      </w:r>
      <w:r>
        <w:t xml:space="preserve"> 1.0 · 2026-08-20 </w:t>
      </w:r>
      <w:r>
        <w:rPr>
          <w:b/>
        </w:rPr>
        <w:t>Repository:</w:t>
      </w:r>
      <w:r>
        <w:t xml:space="preserve"> </w:t>
      </w:r>
      <w:r>
        <w:rPr>
          <w:rFonts w:ascii="Consolas" w:hAnsi="Consolas"/>
          <w:sz w:val="19"/>
        </w:rPr>
        <w:t>Lung_Cancer_In_Silico</w:t>
      </w:r>
    </w:p>
    <w:p>
      <w:pPr>
        <w:pStyle w:val="Heading2"/>
      </w:pPr>
      <w:r/>
      <w:r>
        <w:t>1. Study design and rationale</w:t>
      </w:r>
    </w:p>
    <w:p>
      <w:pPr>
        <w:pStyle w:val="Heading3"/>
      </w:pPr>
      <w:r/>
      <w:r>
        <w:t>1.1 Design</w:t>
      </w:r>
    </w:p>
    <w:p>
      <w:pPr>
        <w:spacing w:after="160"/>
      </w:pPr>
      <w:r>
        <w:t xml:space="preserve">This is a </w:t>
      </w:r>
      <w:r>
        <w:rPr>
          <w:b/>
        </w:rPr>
        <w:t>prospective in silico replication</w:t>
      </w:r>
      <w:r>
        <w:t xml:space="preserve"> of a planned in vitro experiment. Rather than modelling the assay after the results are known — which cannot fail and therefore proves nothing — the computational arm produces a quantitative, uncertainty-bounded prediction of the wet-lab outcome, cryptographically seals that prediction before any absorbance is measured, and is subsequently scored against the observed data.</w:t>
      </w:r>
    </w:p>
    <w:p>
      <w:pPr>
        <w:spacing w:after="160"/>
      </w:pPr>
      <w:r>
        <w:t>The design has three components:</w:t>
      </w:r>
    </w:p>
    <w:p>
      <w:pPr>
        <w:pStyle w:val="ListNumber"/>
      </w:pPr>
      <w:r>
        <w:rPr>
          <w:b/>
        </w:rPr>
        <w:t>Prediction.</w:t>
      </w:r>
      <w:r>
        <w:t xml:space="preserve"> Estimate the extract's half-maximal inhibitory concentration (IC₅₀) against A549 cells, and the percent viability expected at each planned dose.</w:t>
      </w:r>
    </w:p>
    <w:p>
      <w:pPr>
        <w:pStyle w:val="ListNumber"/>
      </w:pPr>
      <w:r>
        <w:rPr>
          <w:b/>
        </w:rPr>
        <w:t>Design evaluation.</w:t>
      </w:r>
      <w:r>
        <w:t xml:space="preserve"> Simulate the planned 96-well MTT experiment thousands of times under realistic measurement error to determine whether the planned dose range, replicate structure and control set are capable of answering the study's research questions at all.</w:t>
      </w:r>
    </w:p>
    <w:p>
      <w:pPr>
        <w:pStyle w:val="ListNumber"/>
      </w:pPr>
      <w:r>
        <w:rPr>
          <w:b/>
        </w:rPr>
        <w:t>Mechanistic hypothesis generation.</w:t>
      </w:r>
      <w:r>
        <w:t xml:space="preserve"> Identify which </w:t>
      </w:r>
      <w:r>
        <w:rPr>
          <w:i/>
        </w:rPr>
        <w:t>M. oleifera</w:t>
      </w:r>
      <w:r>
        <w:t xml:space="preserve"> constituents are most likely to drive any observed cytotoxicity, and through which A549-relevant molecular targets and pathways.</w:t>
      </w:r>
    </w:p>
    <w:p>
      <w:pPr>
        <w:spacing w:after="160"/>
      </w:pPr>
      <w:r>
        <w:t xml:space="preserve">The in silico arm is deliberately constrained to reproduce the wet-lab protocol </w:t>
      </w:r>
      <w:r>
        <w:rPr>
          <w:i/>
        </w:rPr>
        <w:t>exactly</w:t>
      </w:r>
      <w:r>
        <w:t xml:space="preserve"> — the same viability formula, the same IC₅₀ regression method, the same statistical test sequence — so that any discrepancy between predicted and observed values is attributable to biology or to the model, not to analytical divergence.</w:t>
      </w:r>
    </w:p>
    <w:p>
      <w:pPr>
        <w:pStyle w:val="Heading3"/>
      </w:pPr>
      <w:r/>
      <w:r>
        <w:t>1.2 Biological specificity of the model</w:t>
      </w:r>
    </w:p>
    <w:p>
      <w:pPr>
        <w:spacing w:after="160"/>
      </w:pPr>
      <w:r>
        <w:t>A549 was not treated as a generic cancer cell line. The target panel, the mechanistic hypotheses and the interpretation were constrained by the documented A549 genotype: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Gene</w:t>
            </w:r>
          </w:p>
        </w:tc>
        <w:tc>
          <w:tcPr>
            <w:tcW w:type="dxa" w:w="2880"/>
          </w:tcPr>
          <w:p>
            <w:r>
              <w:rPr>
                <w:b/>
              </w:rPr>
            </w:r>
            <w:r>
              <w:rPr>
                <w:b/>
              </w:rPr>
              <w:t>Status in A549</w:t>
            </w:r>
          </w:p>
        </w:tc>
        <w:tc>
          <w:tcPr>
            <w:tcW w:type="dxa" w:w="2880"/>
          </w:tcPr>
          <w:p>
            <w:r>
              <w:rPr>
                <w:b/>
              </w:rPr>
            </w:r>
            <w:r>
              <w:rPr>
                <w:b/>
              </w:rPr>
              <w:t>Consequence modelled</w:t>
            </w:r>
          </w:p>
        </w:tc>
      </w:tr>
      <w:tr>
        <w:tc>
          <w:tcPr>
            <w:tcW w:type="dxa" w:w="2880"/>
          </w:tcPr>
          <w:p>
            <w:r/>
            <w:r>
              <w:rPr>
                <w:i/>
              </w:rPr>
              <w:t>KRAS</w:t>
            </w:r>
          </w:p>
        </w:tc>
        <w:tc>
          <w:tcPr>
            <w:tcW w:type="dxa" w:w="2880"/>
          </w:tcPr>
          <w:p>
            <w:r/>
            <w:r>
              <w:t>G12S, homozygous</w:t>
            </w:r>
          </w:p>
        </w:tc>
        <w:tc>
          <w:tcPr>
            <w:tcW w:type="dxa" w:w="2880"/>
          </w:tcPr>
          <w:p>
            <w:r/>
            <w:r>
              <w:t>Constitutive RAS/MAPK signalling</w:t>
            </w:r>
          </w:p>
        </w:tc>
      </w:tr>
      <w:tr>
        <w:tc>
          <w:tcPr>
            <w:tcW w:type="dxa" w:w="2880"/>
          </w:tcPr>
          <w:p>
            <w:r/>
            <w:r>
              <w:rPr>
                <w:i/>
              </w:rPr>
              <w:t>STK11</w:t>
            </w:r>
            <w:r>
              <w:t xml:space="preserve"> / </w:t>
            </w:r>
            <w:r>
              <w:rPr>
                <w:i/>
              </w:rPr>
              <w:t>LKB1</w:t>
            </w:r>
          </w:p>
        </w:tc>
        <w:tc>
          <w:tcPr>
            <w:tcW w:type="dxa" w:w="2880"/>
          </w:tcPr>
          <w:p>
            <w:r/>
            <w:r>
              <w:t>Null</w:t>
            </w:r>
          </w:p>
        </w:tc>
        <w:tc>
          <w:tcPr>
            <w:tcW w:type="dxa" w:w="2880"/>
          </w:tcPr>
          <w:p>
            <w:r/>
            <w:r>
              <w:t>Loss of AMPK-mediated growth restraint</w:t>
            </w:r>
          </w:p>
        </w:tc>
      </w:tr>
      <w:tr>
        <w:tc>
          <w:tcPr>
            <w:tcW w:type="dxa" w:w="2880"/>
          </w:tcPr>
          <w:p>
            <w:r/>
            <w:r>
              <w:rPr>
                <w:i/>
              </w:rPr>
              <w:t>TP53</w:t>
            </w:r>
          </w:p>
        </w:tc>
        <w:tc>
          <w:tcPr>
            <w:tcW w:type="dxa" w:w="2880"/>
          </w:tcPr>
          <w:p>
            <w:r/>
            <w:r>
              <w:t>Wild type</w:t>
            </w:r>
          </w:p>
        </w:tc>
        <w:tc>
          <w:tcPr>
            <w:tcW w:type="dxa" w:w="2880"/>
          </w:tcPr>
          <w:p>
            <w:r/>
            <w:r>
              <w:t>Intrinsic p53 apoptotic axis is intact and druggable</w:t>
            </w:r>
          </w:p>
        </w:tc>
      </w:tr>
      <w:tr>
        <w:tc>
          <w:tcPr>
            <w:tcW w:type="dxa" w:w="2880"/>
          </w:tcPr>
          <w:p>
            <w:r/>
            <w:r>
              <w:rPr>
                <w:i/>
              </w:rPr>
              <w:t>CDKN2A</w:t>
            </w:r>
          </w:p>
        </w:tc>
        <w:tc>
          <w:tcPr>
            <w:tcW w:type="dxa" w:w="2880"/>
          </w:tcPr>
          <w:p>
            <w:r/>
            <w:r>
              <w:t>Deleted</w:t>
            </w:r>
          </w:p>
        </w:tc>
        <w:tc>
          <w:tcPr>
            <w:tcW w:type="dxa" w:w="2880"/>
          </w:tcPr>
          <w:p>
            <w:r/>
            <w:r>
              <w:t>Unrestrained CDK4/6–Rb progression</w:t>
            </w:r>
          </w:p>
        </w:tc>
      </w:tr>
      <w:tr>
        <w:tc>
          <w:tcPr>
            <w:tcW w:type="dxa" w:w="2880"/>
          </w:tcPr>
          <w:p>
            <w:r/>
            <w:r>
              <w:rPr>
                <w:i/>
              </w:rPr>
              <w:t>KEAP1</w:t>
            </w:r>
          </w:p>
        </w:tc>
        <w:tc>
          <w:tcPr>
            <w:tcW w:type="dxa" w:w="2880"/>
          </w:tcPr>
          <w:p>
            <w:r/>
            <w:r>
              <w:t>G333C</w:t>
            </w:r>
          </w:p>
        </w:tc>
        <w:tc>
          <w:tcPr>
            <w:tcW w:type="dxa" w:w="2880"/>
          </w:tcPr>
          <w:p>
            <w:r/>
            <w:r>
              <w:t>Constitutive NRF2 activation → high antioxidant capacity, intrinsic chemoresistance</w:t>
            </w:r>
          </w:p>
        </w:tc>
      </w:tr>
    </w:tbl>
    <w:p/>
    <w:p>
      <w:pPr>
        <w:spacing w:after="160"/>
      </w:pPr>
      <w:r>
        <w:t xml:space="preserve">The </w:t>
      </w:r>
      <w:r>
        <w:rPr>
          <w:i/>
        </w:rPr>
        <w:t>KEAP1</w:t>
      </w:r>
      <w:r>
        <w:t xml:space="preserve"> status is mechanistically important to this specific study. </w:t>
      </w:r>
      <w:r>
        <w:rPr>
          <w:i/>
        </w:rPr>
        <w:t>M. oleifera</w:t>
      </w:r>
      <w:r>
        <w:t xml:space="preserve"> isothiocyanates (notably moringin) are established NRF2 </w:t>
      </w:r>
      <w:r>
        <w:rPr>
          <w:b/>
        </w:rPr>
        <w:t>activators</w:t>
      </w:r>
      <w:r>
        <w:t xml:space="preserve">. In a cell line whose NRF2 axis is already constitutively de-repressed, that mode of action is predicted to be substantially attenuated. This generates a falsifiable, cell-line-specific hypothesis — that the extract will be </w:t>
      </w:r>
      <w:r>
        <w:rPr>
          <w:i/>
        </w:rPr>
        <w:t>less</w:t>
      </w:r>
      <w:r>
        <w:t xml:space="preserve"> potent against A549 than against NRF2-competent lines — rather than a generic "plant extract kills cancer cells" claim.</w:t>
      </w:r>
    </w:p>
    <w:p>
      <w:pPr>
        <w:pStyle w:val="Heading3"/>
      </w:pPr>
      <w:r/>
      <w:r>
        <w:t>1.3 Pre-declared decision gates</w:t>
      </w:r>
    </w:p>
    <w:p>
      <w:pPr>
        <w:spacing w:after="160"/>
      </w:pPr>
      <w:r>
        <w:t>Five gates were declared before the corresponding analyses were run. Each has an explicit numeric pass criterion and an explicit consequence for failure.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Gate</w:t>
            </w:r>
          </w:p>
        </w:tc>
        <w:tc>
          <w:tcPr>
            <w:tcW w:type="dxa" w:w="2880"/>
          </w:tcPr>
          <w:p>
            <w:r>
              <w:rPr>
                <w:b/>
              </w:rPr>
            </w:r>
            <w:r>
              <w:rPr>
                <w:b/>
              </w:rPr>
              <w:t>Criterion</w:t>
            </w:r>
          </w:p>
        </w:tc>
        <w:tc>
          <w:tcPr>
            <w:tcW w:type="dxa" w:w="2880"/>
          </w:tcPr>
          <w:p>
            <w:r>
              <w:rPr>
                <w:b/>
              </w:rPr>
            </w:r>
            <w:r>
              <w:rPr>
                <w:b/>
              </w:rPr>
              <w:t>Purpose</w:t>
            </w:r>
          </w:p>
        </w:tc>
      </w:tr>
      <w:tr>
        <w:tc>
          <w:tcPr>
            <w:tcW w:type="dxa" w:w="2880"/>
          </w:tcPr>
          <w:p>
            <w:r/>
            <w:r>
              <w:rPr>
                <w:b/>
              </w:rPr>
              <w:t>G1</w:t>
            </w:r>
          </w:p>
        </w:tc>
        <w:tc>
          <w:tcPr>
            <w:tcW w:type="dxa" w:w="2880"/>
          </w:tcPr>
          <w:p>
            <w:r/>
            <w:r>
              <w:t>Redocking of each co-crystallised ligand reproduces the crystallographic pose at RMSD ≤ 2.0 Å</w:t>
            </w:r>
          </w:p>
        </w:tc>
        <w:tc>
          <w:tcPr>
            <w:tcW w:type="dxa" w:w="2880"/>
          </w:tcPr>
          <w:p>
            <w:r/>
            <w:r>
              <w:t>Validates the docking setup per target</w:t>
            </w:r>
          </w:p>
        </w:tc>
      </w:tr>
      <w:tr>
        <w:tc>
          <w:tcPr>
            <w:tcW w:type="dxa" w:w="2880"/>
          </w:tcPr>
          <w:p>
            <w:r/>
            <w:r>
              <w:rPr>
                <w:b/>
              </w:rPr>
              <w:t>G2</w:t>
            </w:r>
          </w:p>
        </w:tc>
        <w:tc>
          <w:tcPr>
            <w:tcW w:type="dxa" w:w="2880"/>
          </w:tcPr>
          <w:p>
            <w:r/>
            <w:r>
              <w:t>QSAR: 5-fold CV Q² ≥ 0.5, external test R² ≥ 0.6, y-randomisation Q²_rand &lt; 0.2</w:t>
            </w:r>
          </w:p>
        </w:tc>
        <w:tc>
          <w:tcPr>
            <w:tcW w:type="dxa" w:w="2880"/>
          </w:tcPr>
          <w:p>
            <w:r/>
            <w:r>
              <w:t>Validates the potency model</w:t>
            </w:r>
          </w:p>
        </w:tc>
      </w:tr>
      <w:tr>
        <w:tc>
          <w:tcPr>
            <w:tcW w:type="dxa" w:w="2880"/>
          </w:tcPr>
          <w:p>
            <w:r/>
            <w:r>
              <w:rPr>
                <w:b/>
              </w:rPr>
              <w:t>G3</w:t>
            </w:r>
          </w:p>
        </w:tc>
        <w:tc>
          <w:tcPr>
            <w:tcW w:type="dxa" w:w="2880"/>
          </w:tcPr>
          <w:p>
            <w:r/>
            <w:r>
              <w:t>Python and jamovi agree to 3 decimal places on the same input CSV</w:t>
            </w:r>
          </w:p>
        </w:tc>
        <w:tc>
          <w:tcPr>
            <w:tcW w:type="dxa" w:w="2880"/>
          </w:tcPr>
          <w:p>
            <w:r/>
            <w:r>
              <w:t>Validates the statistics mirror</w:t>
            </w:r>
          </w:p>
        </w:tc>
      </w:tr>
      <w:tr>
        <w:tc>
          <w:tcPr>
            <w:tcW w:type="dxa" w:w="2880"/>
          </w:tcPr>
          <w:p>
            <w:r/>
            <w:r>
              <w:rPr>
                <w:b/>
              </w:rPr>
              <w:t>G4</w:t>
            </w:r>
          </w:p>
        </w:tc>
        <w:tc>
          <w:tcPr>
            <w:tcW w:type="dxa" w:w="2880"/>
          </w:tcPr>
          <w:p>
            <w:r/>
            <w:r>
              <w:t>Predicted doxorubicin A549 IC₅₀ within 3-fold of published values, with doxorubicin held out of training</w:t>
            </w:r>
          </w:p>
        </w:tc>
        <w:tc>
          <w:tcPr>
            <w:tcW w:type="dxa" w:w="2880"/>
          </w:tcPr>
          <w:p>
            <w:r/>
            <w:r>
              <w:t>Honesty check — retrodict a known answer before predicting an unknown one</w:t>
            </w:r>
          </w:p>
        </w:tc>
      </w:tr>
      <w:tr>
        <w:tc>
          <w:tcPr>
            <w:tcW w:type="dxa" w:w="2880"/>
          </w:tcPr>
          <w:p>
            <w:r/>
            <w:r>
              <w:rPr>
                <w:b/>
              </w:rPr>
              <w:t>G5</w:t>
            </w:r>
          </w:p>
        </w:tc>
        <w:tc>
          <w:tcPr>
            <w:tcW w:type="dxa" w:w="2880"/>
          </w:tcPr>
          <w:p>
            <w:r/>
            <w:r>
              <w:t>Predicted extract IC₅₀ within 3-fold of observed; %viability RMSE ≤ 15 percentage points; Spearman ρ ≥ 0.9 on dose rank order</w:t>
            </w:r>
          </w:p>
        </w:tc>
        <w:tc>
          <w:tcPr>
            <w:tcW w:type="dxa" w:w="2880"/>
          </w:tcPr>
          <w:p>
            <w:r/>
            <w:r>
              <w:t>Final validation against the wet lab</w:t>
            </w:r>
          </w:p>
        </w:tc>
      </w:tr>
    </w:tbl>
    <w:p/>
    <w:p>
      <w:pPr>
        <w:spacing w:after="160"/>
      </w:pPr>
      <w:r>
        <w:t>Gate outcomes are reported in Section 10 regardless of whether they passed.</w:t>
      </w:r>
    </w:p>
    <w:p>
      <w:pPr>
        <w:pStyle w:val="Heading3"/>
      </w:pPr>
      <w:r/>
      <w:r>
        <w:t>1.4 Software environment</w:t>
      </w:r>
    </w:p>
    <w:p>
      <w:pPr>
        <w:spacing w:after="160"/>
      </w:pPr>
      <w:r>
        <w:t>Python 3.13 on Windows. Core libraries: RDKit (cheminformatics, descriptors, fingerprints, scaffolds), scikit-learn and XGBoost (modelling), SciPy and statsmodels (statistics), pandas and NumPy (data handling), Matplotlib and seaborn (figures), requests (API access). Docking is performed with AutoDock Vina; web-server fallbacks (CB-Dock2, SwissDock, SwissADME, ADMETlab 3.0, ProTox-3.0, SwissTargetPrediction, STRING, ShinyGO) are used where local compute is limiting, with the route recorded per result.</w:t>
      </w:r>
    </w:p>
    <w:p>
      <w:pPr>
        <w:spacing w:after="160"/>
      </w:pPr>
      <w:r>
        <w:t>All network calls are cached to disk (</w:t>
      </w:r>
      <w:r>
        <w:rPr>
          <w:rFonts w:ascii="Consolas" w:hAnsi="Consolas"/>
          <w:sz w:val="19"/>
        </w:rPr>
        <w:t>data/raw/*_cache.json</w:t>
      </w:r>
      <w:r>
        <w:t>) so that every analysis is re-runnable without re-querying external services. Random seeds are fixed throughout; the git commit hash is recorded with every sealed result.</w:t>
      </w:r>
    </w:p>
    <w:p>
      <w:pPr>
        <w:pStyle w:val="Heading2"/>
      </w:pPr>
      <w:r/>
      <w:r>
        <w:t>2. Phase A — Extract-agnostic construction</w:t>
      </w:r>
    </w:p>
    <w:p>
      <w:pPr>
        <w:spacing w:after="160"/>
      </w:pPr>
      <w:r>
        <w:t>Phase A comprises all work that does not depend on chemical characterisation of the specific extract batch.</w:t>
      </w:r>
    </w:p>
    <w:p>
      <w:pPr>
        <w:pStyle w:val="Heading3"/>
      </w:pPr>
      <w:r/>
      <w:r>
        <w:t>2.1 Candidate compound library</w:t>
      </w:r>
    </w:p>
    <w:p>
      <w:pPr>
        <w:spacing w:after="160"/>
      </w:pPr>
      <w:r>
        <w:t xml:space="preserve">A library of </w:t>
      </w:r>
      <w:r>
        <w:rPr>
          <w:i/>
        </w:rPr>
        <w:t>M. oleifera</w:t>
      </w:r>
      <w:r>
        <w:t xml:space="preserve"> constituents was assembled from the phytochemical literature, prioritising bark-associated compounds and covering the major chemical classes reported for the genus: glucosinolates and isothiocyanates (glucomoringin, moringin, benzyl isothiocyanate, niazimicin, niaziminin, niazirin, sinigrin), flavonoids (quercetin, kaempferol, rutin, apigenin, luteolin, catechin, epicatechin), phenolic acids (chlorogenic, gallic, ellagic, ferulic, caffeic, syringic, </w:t>
      </w:r>
      <w:r>
        <w:rPr>
          <w:i/>
        </w:rPr>
        <w:t>p</w:t>
      </w:r>
      <w:r>
        <w:t>-coumaric), sterols (β-sitosterol, stigmasterol, campesterol), triterpenoids (lupeol, oleanolic acid, ursolic acid), alkaloids (moringine/moringinine), fatty acids (palmitic, stearic, oleic, linoleic, octacosanoic) and miscellaneous constituents (4-hydroxymellein, vanillin, squalene, phytol).</w:t>
      </w:r>
    </w:p>
    <w:p>
      <w:pPr>
        <w:spacing w:after="160"/>
      </w:pPr>
      <w:r>
        <w:t>For each compound, canonical SMILES were retrieved from PubChem via the PUG-REST API. Structures were parsed in RDKit, the largest organic fragment retained, 3D conformers generated with ETKDGv3, and geometries minimised with MMFF94. Molecules were protonated at physiological pH 7.4. Outputs were written as a structure-data file (SDF) for downstream docking and as a tabular library with molecular descriptors.</w:t>
      </w:r>
    </w:p>
    <w:p>
      <w:pPr>
        <w:spacing w:after="160"/>
      </w:pPr>
      <w:r>
        <w:rPr>
          <w:b/>
        </w:rPr>
        <w:t>Result:</w:t>
      </w:r>
      <w:r>
        <w:t xml:space="preserve"> 47 compounds with verified structures and 3D conformers.</w:t>
      </w:r>
    </w:p>
    <w:p>
      <w:pPr>
        <w:pStyle w:val="Heading3"/>
      </w:pPr>
      <w:r/>
      <w:r>
        <w:t>2.2 Target panel</w:t>
      </w:r>
    </w:p>
    <w:p>
      <w:pPr>
        <w:spacing w:after="160"/>
      </w:pPr>
      <w:r>
        <w:t>Sixteen molecular targets were selected on the basis of A549 biology (Section 1.2) rather than generic oncology relevance, spanning six functional categories: oncogenic drivers (KRAS switch-II pocket, EGFR), survival signalling (PI3Kα, AKT1, mTOR, ERK2), apoptosis regulation (Bcl-2, Bcl-xL, caspase-3), inflammation and angiogenesis (COX-2, VEGFR2), mitosis (β-tubulin colchicine site), the positive-control anchor (topoisomerase IIα), and A549-specific chemoresistance (KEAP1 Kelch domain, thioredoxin reductase 1).</w:t>
      </w:r>
    </w:p>
    <w:p>
      <w:pPr>
        <w:spacing w:after="160"/>
      </w:pPr>
      <w:r>
        <w:t>For each target, candidate structures were queried programmatically against the RCSB Protein Data Bank Search and Data APIs and filtered on: human origin, experimental method, resolution, presence of a bound drug-like ligand (co-factors such as FAD, ATP analogues and heme excluded from the drug-like count), correct gene assignment, and absence of confounding nucleic acid where inappropriate. Structures were ranked by resolution among those passing all filters, and each selection was recorded with an explicit accept/reject verdict and reason.</w:t>
      </w:r>
    </w:p>
    <w:p>
      <w:pPr>
        <w:spacing w:after="160"/>
      </w:pPr>
      <w:r>
        <w:rPr>
          <w:b/>
        </w:rPr>
        <w:t>Result:</w:t>
      </w:r>
      <w:r>
        <w:t xml:space="preserve"> 15 of 16 targets accepted. Thioredoxin reductase 1 was </w:t>
      </w:r>
      <w:r>
        <w:rPr>
          <w:b/>
        </w:rPr>
        <w:t>rejected</w:t>
      </w:r>
      <w:r>
        <w:t xml:space="preserve"> — every candidate entry carried only FAD, providing no inhibitor pocket against which to anchor a docking box or perform the G1 redocking validation. This target is reported as dropped, with the reason stated, rather than docked against an unvalidated site.</w:t>
      </w:r>
    </w:p>
    <w:p>
      <w:pPr>
        <w:spacing w:after="160"/>
      </w:pPr>
      <w:r>
        <w:t xml:space="preserve">Three accepted selections carry documented caveats requiring manual confirmation before docking: the Bcl-2 entry annotates both </w:t>
      </w:r>
      <w:r>
        <w:rPr>
          <w:i/>
        </w:rPr>
        <w:t>BCL2</w:t>
      </w:r>
      <w:r>
        <w:t xml:space="preserve"> and </w:t>
      </w:r>
      <w:r>
        <w:rPr>
          <w:i/>
        </w:rPr>
        <w:t>BCL2L1</w:t>
      </w:r>
      <w:r>
        <w:t>; the mTOR entry is an FRB–rapamycin–FKBP complex rather than the kinase domain; and the tubulin entry requires confirmation as colchicine-site. Resolution alone was found to be an insufficient selection rule.</w:t>
      </w:r>
    </w:p>
    <w:p>
      <w:pPr>
        <w:pStyle w:val="Heading3"/>
      </w:pPr>
      <w:r/>
      <w:r>
        <w:t>2.3 QSAR training data</w:t>
      </w:r>
    </w:p>
    <w:p>
      <w:pPr>
        <w:spacing w:after="160"/>
      </w:pPr>
      <w:r>
        <w:t>Cytotoxicity data for A549 were retrieved from the ChEMBL database via its REST API using the A549 cell-line target identifier. A parallel normal-lung dataset (MRC-5, WI-38, BEAS-2B, IMR-90) was retrieved for selectivity-index modelling.</w:t>
      </w:r>
    </w:p>
    <w:p>
      <w:pPr>
        <w:spacing w:after="160"/>
      </w:pPr>
      <w:r>
        <w:t>Curation was applied in a fixed, logged order:</w:t>
      </w:r>
    </w:p>
    <w:p>
      <w:pPr>
        <w:pStyle w:val="ListNumber"/>
      </w:pPr>
      <w:r>
        <w:t xml:space="preserve">Retain activity types IC₅₀, GI₅₀, EC₅₀ with </w:t>
      </w:r>
      <w:r>
        <w:rPr>
          <w:rFonts w:ascii="Consolas" w:hAnsi="Consolas"/>
          <w:sz w:val="19"/>
        </w:rPr>
        <w:t>standard_relation</w:t>
      </w:r>
      <w:r>
        <w:t xml:space="preserve"> equal to </w:t>
      </w:r>
      <w:r>
        <w:rPr>
          <w:rFonts w:ascii="Consolas" w:hAnsi="Consolas"/>
          <w:sz w:val="19"/>
        </w:rPr>
        <w:t>=</w:t>
      </w:r>
      <w:r>
        <w:t xml:space="preserve"> only — censored ("greater than", "less than") values are not measurements and were discarded.</w:t>
      </w:r>
    </w:p>
    <w:p>
      <w:pPr>
        <w:pStyle w:val="ListNumber"/>
      </w:pPr>
      <w:r>
        <w:t>Retain records with units convertible to nanomolar.</w:t>
      </w:r>
    </w:p>
    <w:p>
      <w:pPr>
        <w:pStyle w:val="ListNumber"/>
      </w:pPr>
      <w:r>
        <w:t>Require a parseable canonical SMILES.</w:t>
      </w:r>
    </w:p>
    <w:p>
      <w:pPr>
        <w:pStyle w:val="ListNumber"/>
      </w:pPr>
      <w:r>
        <w:t>Strip salts and mixtures; retain the largest organic fragment.</w:t>
      </w:r>
    </w:p>
    <w:p>
      <w:pPr>
        <w:pStyle w:val="ListNumber"/>
      </w:pPr>
      <w:r>
        <w:t>Standardise to pIC₅₀ = 9 − log₁₀(IC₅₀ in nM).</w:t>
      </w:r>
    </w:p>
    <w:p>
      <w:pPr>
        <w:pStyle w:val="ListNumber"/>
      </w:pPr>
      <w:r>
        <w:t xml:space="preserve">Deduplicate by InChIKey, retaining the </w:t>
      </w:r>
      <w:r>
        <w:rPr>
          <w:b/>
        </w:rPr>
        <w:t>median</w:t>
      </w:r>
      <w:r>
        <w:t xml:space="preserve"> pIC₅₀ across replicates; compounds whose replicate spread exceeded 1 log unit were dropped as irreproducible, since retaining them injects label noise.</w:t>
      </w:r>
    </w:p>
    <w:p>
      <w:pPr>
        <w:pStyle w:val="ListNumber"/>
      </w:pPr>
      <w:r>
        <w:t>Retain pIC₅₀ within [3, 11]; values outside this window are typically unit-entry errors.</w:t>
      </w:r>
    </w:p>
    <w:p>
      <w:pPr>
        <w:spacing w:after="160"/>
      </w:pPr>
      <w:r>
        <w:rPr>
          <w:b/>
        </w:rPr>
        <w:t>Result:</w:t>
      </w:r>
      <w:r>
        <w:t xml:space="preserve"> 6,972 curated compounds with A549 activity.</w:t>
      </w:r>
    </w:p>
    <w:p>
      <w:pPr>
        <w:spacing w:after="160"/>
      </w:pPr>
      <w:r>
        <w:rPr>
          <w:b/>
        </w:rPr>
        <w:t>Caveat recorded:</w:t>
      </w:r>
      <w:r>
        <w:t xml:space="preserve"> the ChEMBL pull terminated at approximately 21,000 raw records when the connection dropped; curation was performed on the retrieved subset. The fetch script is re-runnable to extend the dataset.</w:t>
      </w:r>
    </w:p>
    <w:p>
      <w:pPr>
        <w:pStyle w:val="Heading3"/>
      </w:pPr>
      <w:r/>
      <w:r>
        <w:t>2.4 QSAR model and validation</w:t>
      </w:r>
    </w:p>
    <w:p>
      <w:pPr>
        <w:spacing w:after="160"/>
      </w:pPr>
      <w:r>
        <w:rPr>
          <w:b/>
        </w:rPr>
        <w:t>Featurisation.</w:t>
      </w:r>
      <w:r>
        <w:t xml:space="preserve"> Morgan circular fingerprints (radius 2, 1024 bits) concatenated with interpretable RDKit descriptors (molecular weight, cLogP, topological polar surface area, hydrogen-bond donors and acceptors, rotatable bonds, ring and aromatic-ring counts, fraction sp³ carbon, heavy-atom count). Fingerprint length was set to 1024 rather than 2048 after testing showed no improvement in scaffold-split R² at double the fitting cost, which matters because the validation protocol requires dozens of model fits.</w:t>
      </w:r>
    </w:p>
    <w:p>
      <w:pPr>
        <w:spacing w:after="160"/>
      </w:pPr>
      <w:r>
        <w:rPr>
          <w:b/>
        </w:rPr>
        <w:t>Models.</w:t>
      </w:r>
      <w:r>
        <w:t xml:space="preserve"> Ridge regression (linear baseline), Random Forest, and XGBoost.</w:t>
      </w:r>
    </w:p>
    <w:p>
      <w:pPr>
        <w:spacing w:after="160"/>
      </w:pPr>
      <w:r>
        <w:rPr>
          <w:b/>
        </w:rPr>
        <w:t>Validation protocol.</w:t>
      </w:r>
      <w:r>
        <w:t xml:space="preserve"> Two independent train/test splits were evaluated:</w:t>
      </w:r>
    </w:p>
    <w:p>
      <w:pPr>
        <w:pStyle w:val="ListBullet"/>
      </w:pPr>
      <w:r>
        <w:t xml:space="preserve">A </w:t>
      </w:r>
      <w:r>
        <w:rPr>
          <w:b/>
        </w:rPr>
        <w:t>random split</w:t>
      </w:r>
      <w:r>
        <w:t xml:space="preserve"> (80/20) — the optimistic protocol most commonly reported in the literature.</w:t>
      </w:r>
    </w:p>
    <w:p>
      <w:pPr>
        <w:pStyle w:val="ListBullet"/>
      </w:pPr>
      <w:r>
        <w:t xml:space="preserve">A </w:t>
      </w:r>
      <w:r>
        <w:rPr>
          <w:b/>
        </w:rPr>
        <w:t>Bemis–Murcko scaffold split</w:t>
      </w:r>
      <w:r>
        <w:t xml:space="preserve"> — test compounds share no molecular scaffold with any training compound. This is the honest protocol for this study, because the </w:t>
      </w:r>
      <w:r>
        <w:rPr>
          <w:i/>
        </w:rPr>
        <w:t>Moringa</w:t>
      </w:r>
      <w:r>
        <w:t xml:space="preserve"> constituents are natural-product scaffolds largely unrepresented in the ChEMBL cytotoxicity corpus.</w:t>
      </w:r>
    </w:p>
    <w:p>
      <w:pPr>
        <w:spacing w:after="160"/>
      </w:pPr>
      <w:r>
        <w:t>Reported metrics: 5-fold cross-validated Q², external test R², RMSE, MAE, and y-randomisation Q² (labels permuted, model refit, to confirm the model is not fitting noise). An applicability domain was defined by maximum Tanimoto similarity to the training set; predictions for compounds below a similarity threshold of 0.3 were flagged out-of-domain and are not reported as quantitative estimates.</w:t>
      </w:r>
    </w:p>
    <w:p>
      <w:pPr>
        <w:spacing w:after="160"/>
      </w:pPr>
      <w:r>
        <w:rPr>
          <w:b/>
        </w:rPr>
        <w:t>Positive-control anchoring (G4).</w:t>
      </w:r>
      <w:r>
        <w:t xml:space="preserve"> Doxorubicin and all reference cytotoxics were </w:t>
      </w:r>
      <w:r>
        <w:rPr>
          <w:b/>
        </w:rPr>
        <w:t>removed from the training set</w:t>
      </w:r>
      <w:r>
        <w:t xml:space="preserve"> before the anchor test. Without this removal the model would simply recall a memorised label and the anchor would prove nothing. The held-out prediction was compared against the published doxorubicin A549 window of 0.1–10 µM, which spans reported exposure times and readouts.</w:t>
      </w:r>
    </w:p>
    <w:p>
      <w:pPr>
        <w:pStyle w:val="Heading3"/>
      </w:pPr>
      <w:r/>
      <w:r>
        <w:t>2.5 Statistics mirror</w:t>
      </w:r>
    </w:p>
    <w:p>
      <w:pPr>
        <w:spacing w:after="160"/>
      </w:pPr>
      <w:r>
        <w:t>The manuscript's analytical chain was reimplemented in Python so that simulated and real data pass through identical code: Shapiro–Wilk normality testing, Levene's test for homogeneity of variance, one-way ANOVA with the full sum-of-squares decomposition as written in the research plan, Tukey HSD post hoc comparisons, with Kruskal–Wallis plus Dunn's test as the non-normal branch and Games–Howell for unequal variances. Significance level α = 0.05 throughout.</w:t>
      </w:r>
    </w:p>
    <w:p>
      <w:pPr>
        <w:spacing w:after="160"/>
      </w:pPr>
      <w:r>
        <w:t xml:space="preserve">Verification proceeded in two stages. </w:t>
      </w:r>
      <w:r>
        <w:rPr>
          <w:b/>
        </w:rPr>
        <w:t>G3(a):</w:t>
      </w:r>
      <w:r>
        <w:t xml:space="preserve"> every statistic was cross-checked against independent implementations in SciPy and statsmodels. </w:t>
      </w:r>
      <w:r>
        <w:rPr>
          <w:b/>
        </w:rPr>
        <w:t>G3(b):</w:t>
      </w:r>
      <w:r>
        <w:t xml:space="preserve"> a single simulated dataset was exported in jamovi-ready form together with a reference output file, and the same analysis run manually in jamovi; agreement to three decimal places is required.</w:t>
      </w:r>
    </w:p>
    <w:p>
      <w:pPr>
        <w:pStyle w:val="Heading2"/>
      </w:pPr>
      <w:r/>
      <w:r>
        <w:t>3. Phase B — Compound-level analysis</w:t>
      </w:r>
    </w:p>
    <w:p>
      <w:pPr>
        <w:spacing w:after="160"/>
      </w:pPr>
      <w:r>
        <w:t xml:space="preserve">Phase B was designed to be driven by GC-MS/LC-MS characterisation of the actual extract batch. </w:t>
      </w:r>
      <w:r>
        <w:rPr>
          <w:b/>
        </w:rPr>
        <w:t>See Section 6 for the amendment made when it was confirmed that quantitative composition data (relative peak area) and compound identifiers (PubChem CID) would not be supplied.</w:t>
      </w:r>
      <w:r>
        <w:t xml:space="preserve"> The methods below describe the analyses as executed on the literature-derived library.</w:t>
      </w:r>
    </w:p>
    <w:p>
      <w:pPr>
        <w:pStyle w:val="Heading3"/>
      </w:pPr>
      <w:r/>
      <w:r>
        <w:t>3.1 Molecular docking</w:t>
      </w:r>
    </w:p>
    <w:p>
      <w:pPr>
        <w:spacing w:after="160"/>
      </w:pPr>
      <w:r>
        <w:t>Receptors were prepared by removing water and non-essential heteroatoms, retaining structurally required cofactors and metal ions, adding polar hydrogens and assigning Gasteiger charges. Grid boxes were centred on the crystallographic ligand of each structure with ≥5 Å padding.</w:t>
      </w:r>
    </w:p>
    <w:p>
      <w:pPr>
        <w:spacing w:after="160"/>
      </w:pPr>
      <w:r>
        <w:rPr>
          <w:b/>
        </w:rPr>
        <w:t>Validation (G1).</w:t>
      </w:r>
      <w:r>
        <w:t xml:space="preserve"> Before any </w:t>
      </w:r>
      <w:r>
        <w:rPr>
          <w:i/>
        </w:rPr>
        <w:t>Moringa</w:t>
      </w:r>
      <w:r>
        <w:t xml:space="preserve"> compound was docked, each co-crystallised ligand was extracted, randomised, and redocked into its own receptor. Only targets reproducing the crystallographic pose at RMSD ≤ 2.0 Å were carried forward.</w:t>
      </w:r>
    </w:p>
    <w:p>
      <w:pPr>
        <w:spacing w:after="160"/>
      </w:pPr>
      <w:r>
        <w:rPr>
          <w:b/>
        </w:rPr>
        <w:t>Production docking.</w:t>
      </w:r>
      <w:r>
        <w:t xml:space="preserve"> Each library compound plus doxorubicin was docked against each validated target using AutoDock Vina with exhaustiveness 16–32, retaining 9 poses per run, in triplicate with different random seeds. Binding affinities are reported as mean ± SD in kcal/mol. Protein–ligand interaction profiles (hydrogen bonds, hydrophobic contacts, π-stacking, salt bridges) were generated for the top-ranked complexes.</w:t>
      </w:r>
    </w:p>
    <w:p>
      <w:pPr>
        <w:spacing w:after="160"/>
      </w:pPr>
      <w:r>
        <w:t xml:space="preserve">Docking output is reported as a compound × target affinity matrix and interpreted </w:t>
      </w:r>
      <w:r>
        <w:rPr>
          <w:b/>
        </w:rPr>
        <w:t>as a ranking and hypothesis-generating device only</w:t>
      </w:r>
      <w:r>
        <w:t>. Binding affinity is not evidence of cellular activity, and this is stated explicitly wherever docking results are discussed.</w:t>
      </w:r>
    </w:p>
    <w:p>
      <w:pPr>
        <w:pStyle w:val="Heading3"/>
      </w:pPr>
      <w:r/>
      <w:r>
        <w:t>3.2 ADMET and predicted toxicity</w:t>
      </w:r>
    </w:p>
    <w:p>
      <w:pPr>
        <w:spacing w:after="160"/>
      </w:pPr>
      <w:r>
        <w:t>Each compound was profiled for physicochemical and pharmacokinetic properties using SwissADME, ADMETlab 3.0 and pkCSM: Lipinski and Veber compliance, TPSA, cLogP, predicted gastrointestinal absorption, blood–brain barrier permeation, cytochrome P450 inhibition and P-glycoprotein substrate status. Predicted toxicity — oral LD₅₀, Globally Harmonized System toxicity class, hepatotoxicity, carcinogenicity, mutagenicity and cytotoxicity — was obtained from ProTox-3.0.</w:t>
      </w:r>
    </w:p>
    <w:p>
      <w:pPr>
        <w:spacing w:after="160"/>
      </w:pPr>
      <w:r>
        <w:t>This provides a safety dimension that the in vitro arm cannot supply, and is reported as predicted, not measured.</w:t>
      </w:r>
    </w:p>
    <w:p>
      <w:pPr>
        <w:pStyle w:val="Heading3"/>
      </w:pPr>
      <w:r/>
      <w:r>
        <w:t>3.3 Network pharmacology</w:t>
      </w:r>
    </w:p>
    <w:p>
      <w:pPr>
        <w:spacing w:after="160"/>
      </w:pPr>
      <w:r>
        <w:t>Predicted protein targets for each constituent were obtained from SwissTargetPrediction and STITCH, then intersected with lung-adenocarcinoma gene sets compiled from GeneCards, OMIM, DisGeNET and TCGA-LUAD differential expression. The intersection was submitted to STRING for protein–protein interaction network construction, with hub genes ranked by degree and betweenness centrality. Functional enrichment (KEGG pathways, Gene Ontology terms) was performed with Benjamini–Hochberg correction at q &lt; 0.05. Compound–target–pathway networks were visualised in Cytoscape.</w:t>
      </w:r>
    </w:p>
    <w:p>
      <w:pPr>
        <w:pStyle w:val="Heading3"/>
      </w:pPr>
      <w:r/>
      <w:r>
        <w:t>3.4 Molecular dynamics (conditional)</w:t>
      </w:r>
    </w:p>
    <w:p>
      <w:pPr>
        <w:spacing w:after="160"/>
      </w:pPr>
      <w:r>
        <w:t>Where a single compound–target complex emerges as clearly dominant, a 100 ns all-atom simulation is performed (GROMACS, CHARMM36 or AMBER ff14SB, TIP3P solvation, 0.15 M NaCl, physiological temperature and pressure), with doxorubicin–topoisomerase IIα as the reference system. Analysis covers backbone RMSD, per-residue RMSF, radius of gyration, solvent-accessible surface area, hydrogen-bond occupancy, principal component analysis, and MM-PBSA/MM-GBSA binding free energy with per-residue decomposition.</w:t>
      </w:r>
    </w:p>
    <w:p>
      <w:pPr>
        <w:spacing w:after="160"/>
      </w:pPr>
      <w:r>
        <w:t xml:space="preserve">This step is conditional on compute availability and is </w:t>
      </w:r>
      <w:r>
        <w:rPr>
          <w:b/>
        </w:rPr>
        <w:t>omitted rather than shortened</w:t>
      </w:r>
      <w:r>
        <w:t xml:space="preserve"> — a simulation too short to reach equilibrium provides no information and creates a false impression of rigour.</w:t>
      </w:r>
    </w:p>
    <w:p>
      <w:pPr>
        <w:pStyle w:val="Heading2"/>
      </w:pPr>
      <w:r/>
      <w:r>
        <w:t>4. Phase C — Extract-level potency prediction</w:t>
      </w:r>
    </w:p>
    <w:p>
      <w:pPr>
        <w:spacing w:after="160"/>
      </w:pPr>
      <w:r>
        <w:t>This phase converts molecular-level chemistry into the quantity the MTT assay actually measures: an IC₅₀ in µg/mL (ppm) for the whole extract.</w:t>
      </w:r>
    </w:p>
    <w:p>
      <w:pPr>
        <w:pStyle w:val="Heading3"/>
      </w:pPr>
      <w:r/>
      <w:r>
        <w:t>4.1 The bottom-up route: implemented, tested, and rejected</w:t>
      </w:r>
    </w:p>
    <w:p>
      <w:pPr>
        <w:spacing w:after="160"/>
      </w:pPr>
      <w:r>
        <w:t xml:space="preserve">The original design predicted a per-compound IC₅₀ for every detected constituent from the QSAR model and combined them under </w:t>
      </w:r>
      <w:r>
        <w:rPr>
          <w:b/>
        </w:rPr>
        <w:t>concentration addition (Loewe additivity)</w:t>
      </w:r>
      <w:r>
        <w:t>:</w:t>
      </w:r>
    </w:p>
    <w:p>
      <w:pPr>
        <w:spacing w:after="160"/>
        <w:ind w:left="432"/>
      </w:pPr>
      <w:r>
        <w:rPr>
          <w:rFonts w:ascii="Consolas" w:hAnsi="Consolas"/>
          <w:color w:val="222222"/>
          <w:sz w:val="18"/>
        </w:rPr>
        <w:t>IC50_extract = 1 / Σ (pᵢ / IC50ᵢ)</w:t>
      </w:r>
    </w:p>
    <w:p>
      <w:pPr>
        <w:spacing w:after="160"/>
      </w:pPr>
      <w:r>
        <w:t xml:space="preserve">where </w:t>
      </w:r>
      <w:r>
        <w:rPr>
          <w:i/>
        </w:rPr>
        <w:t>pᵢ</w:t>
      </w:r>
      <w:r>
        <w:t xml:space="preserve"> is the mass fraction of component </w:t>
      </w:r>
      <w:r>
        <w:rPr>
          <w:i/>
        </w:rPr>
        <w:t>i</w:t>
      </w:r>
      <w:r>
        <w:t xml:space="preserve">, with </w:t>
      </w:r>
      <w:r>
        <w:rPr>
          <w:b/>
        </w:rPr>
        <w:t>Bliss independence</w:t>
      </w:r>
      <w:r>
        <w:t xml:space="preserve"> as a secondary estimate:</w:t>
      </w:r>
    </w:p>
    <w:p>
      <w:pPr>
        <w:spacing w:after="160"/>
        <w:ind w:left="432"/>
      </w:pPr>
      <w:r>
        <w:rPr>
          <w:rFonts w:ascii="Consolas" w:hAnsi="Consolas"/>
          <w:color w:val="222222"/>
          <w:sz w:val="18"/>
        </w:rPr>
        <w:t>V_mix(C) = Π_i V_i(pᵢ · C)</w:t>
      </w:r>
    </w:p>
    <w:p>
      <w:pPr>
        <w:spacing w:after="160"/>
      </w:pPr>
      <w:r>
        <w:t xml:space="preserve">This machinery was fully implemented. It was then </w:t>
      </w:r>
      <w:r>
        <w:rPr>
          <w:b/>
        </w:rPr>
        <w:t>abandoned on the evidence of its own validation</w:t>
      </w:r>
      <w:r>
        <w:t>, for three reasons:</w:t>
      </w:r>
    </w:p>
    <w:p>
      <w:pPr>
        <w:pStyle w:val="ListNumber"/>
      </w:pPr>
      <w:r>
        <w:rPr>
          <w:b/>
        </w:rPr>
        <w:t>Gate G2 failed on the scaffold split.</w:t>
      </w:r>
      <w:r>
        <w:t xml:space="preserve"> XGBoost achieved test R² = 0.562 against the pre-declared threshold of ≥ 0.60, while passing on the random split (R² = 0.712). Because the </w:t>
      </w:r>
      <w:r>
        <w:rPr>
          <w:i/>
        </w:rPr>
        <w:t>Moringa</w:t>
      </w:r>
      <w:r>
        <w:t xml:space="preserve"> constituents are novel scaffolds relative to the training corpus, the scaffold-split figure is the one that governs. Random Forest and Ridge failed both thresholds on the scaffold split.</w:t>
      </w:r>
    </w:p>
    <w:p>
      <w:pPr>
        <w:pStyle w:val="ListNumber"/>
      </w:pPr>
      <w:r>
        <w:rPr>
          <w:b/>
        </w:rPr>
        <w:t>Per-compound error is approximately 11-fold at 1σ.</w:t>
      </w:r>
      <w:r>
        <w:t xml:space="preserve"> Restricting the scaffold-split test set to compounds falling inside the </w:t>
      </w:r>
      <w:r>
        <w:rPr>
          <w:i/>
        </w:rPr>
        <w:t>Moringa</w:t>
      </w:r>
      <w:r>
        <w:t xml:space="preserve"> physicochemical envelope (MW 152–464, cLogP −1.63 to 8.16, TPSA 20–208, fraction sp³ 0.00–0.94; n = 754) gave RMSE = 1.041 log units, R² = 0.426, and a median absolute error of 3.5-fold.</w:t>
      </w:r>
    </w:p>
    <w:p>
      <w:pPr>
        <w:pStyle w:val="ListNumber"/>
      </w:pPr>
      <w:r>
        <w:rPr>
          <w:b/>
        </w:rPr>
        <w:t>The direction of the bias could not be resolved.</w:t>
      </w:r>
      <w:r>
        <w:t xml:space="preserve"> The envelope-based estimate indicates the model is </w:t>
      </w:r>
      <w:r>
        <w:rPr>
          <w:i/>
        </w:rPr>
        <w:t>under</w:t>
      </w:r>
      <w:r>
        <w:t xml:space="preserve">-potent (bias +0.213 log units); the five </w:t>
      </w:r>
      <w:r>
        <w:rPr>
          <w:i/>
        </w:rPr>
        <w:t>Moringa</w:t>
      </w:r>
      <w:r>
        <w:t xml:space="preserve"> constituents with genuine measured A549 values — benzyl isothiocyanate, ursolic acid, apigenin, stigmasterol, oleanolic acid — indicate it is </w:t>
      </w:r>
      <w:r>
        <w:rPr>
          <w:i/>
        </w:rPr>
        <w:t>over</w:t>
      </w:r>
      <w:r>
        <w:t>-potent (−0.328 log units). The two estimates disagree in sign, and the 1σ uncertainty is roughly five times the magnitude of either correction, so bias-correcting changes nothing material.</w:t>
      </w:r>
    </w:p>
    <w:p>
      <w:pPr>
        <w:spacing w:after="160"/>
      </w:pPr>
      <w:r>
        <w:t xml:space="preserve">Summing twenty component potencies each carrying 11-fold uncertainty and an unresolved bias direction would produce a precise-looking number containing no information. The bottom-up route was therefore </w:t>
      </w:r>
      <w:r>
        <w:rPr>
          <w:b/>
        </w:rPr>
        <w:t>formally retired</w:t>
      </w:r>
      <w:r>
        <w:t xml:space="preserve"> as the primary estimator. The concentration-addition and Bliss code is retained and becomes usable if measured IC₅₀ values are obtained for the major constituents.</w:t>
      </w:r>
    </w:p>
    <w:p>
      <w:pPr>
        <w:spacing w:after="160"/>
      </w:pPr>
      <w:r>
        <w:rPr>
          <w:b/>
        </w:rPr>
        <w:t>The QSAR model is retained for ranking and triage only</w:t>
      </w:r>
      <w:r>
        <w:t xml:space="preserve"> — deciding which constituents merit docking effort — and is never used for absolute potency. This decision is documented in a calibration report generated by the pipeline.</w:t>
      </w:r>
    </w:p>
    <w:p>
      <w:pPr>
        <w:pStyle w:val="Heading3"/>
      </w:pPr>
      <w:r/>
      <w:r>
        <w:t>4.2 The adopted route: literature prior on crude-extract potency</w:t>
      </w:r>
    </w:p>
    <w:p>
      <w:pPr>
        <w:spacing w:after="160"/>
      </w:pPr>
      <w:r>
        <w:t xml:space="preserve">Extract-level potency is instead estimated from published IC₅₀ measurements of crude </w:t>
      </w:r>
      <w:r>
        <w:rPr>
          <w:i/>
        </w:rPr>
        <w:t>M. oleifera</w:t>
      </w:r>
      <w:r>
        <w:t xml:space="preserve"> extracts against A549 cells. Anchors were collected with full bibliographic provenance, and two prior distributions constructed on log₁₀ IC₅₀:</w:t>
      </w:r>
    </w:p>
    <w:p>
      <w:pPr>
        <w:pStyle w:val="ListBullet"/>
      </w:pPr>
      <w:r>
        <w:t xml:space="preserve">a </w:t>
      </w:r>
      <w:r>
        <w:rPr>
          <w:b/>
        </w:rPr>
        <w:t>pooled prior</w:t>
      </w:r>
      <w:r>
        <w:t xml:space="preserve"> across all A549 anchors regardless of solvent — the optimistic bound;</w:t>
      </w:r>
    </w:p>
    <w:p>
      <w:pPr>
        <w:pStyle w:val="ListBullet"/>
      </w:pPr>
      <w:r>
        <w:t xml:space="preserve">a </w:t>
      </w:r>
      <w:r>
        <w:rPr>
          <w:b/>
        </w:rPr>
        <w:t>solvent-matched prior</w:t>
      </w:r>
      <w:r>
        <w:t xml:space="preserve"> restricted to ethanolic extracts — the decision-relevant distribution, since this study uses an ethanolic extract.</w:t>
      </w:r>
    </w:p>
    <w:p>
      <w:pPr>
        <w:spacing w:after="160"/>
      </w:pPr>
      <w:r>
        <w:t>Each prior is characterised by its geometric mean and 1σ interval, and used to compute the probability that the true IC₅₀ exceeds any given dose.</w:t>
      </w:r>
    </w:p>
    <w:p>
      <w:pPr>
        <w:spacing w:after="160"/>
      </w:pPr>
      <w:r>
        <w:t>This route is preferred over the bottom-up calculation because it is anchored in measurements of the same class of material (crude polar extract), on the same cell line, with the same readout, and is therefore directly comparable to what the planned MTT assay will produce. It does not depend on the QSAR model at all.</w:t>
      </w:r>
    </w:p>
    <w:p>
      <w:pPr>
        <w:pStyle w:val="Heading3"/>
      </w:pPr>
      <w:r/>
      <w:r>
        <w:t>4.3 Dose-range adequacy assessment</w:t>
      </w:r>
    </w:p>
    <w:p>
      <w:pPr>
        <w:spacing w:after="160"/>
      </w:pPr>
      <w:r>
        <w:t>The predicted IC₅₀ distribution was compared against the planned 12.5–200 ppm dose series, and the following quantities computed:</w:t>
      </w:r>
    </w:p>
    <w:p>
      <w:pPr>
        <w:pStyle w:val="ListBullet"/>
      </w:pPr>
      <w:r>
        <w:t>the probability that the true IC₅₀ exceeds the top planned dose, under each prior;</w:t>
      </w:r>
    </w:p>
    <w:p>
      <w:pPr>
        <w:pStyle w:val="ListBullet"/>
      </w:pPr>
      <w:r>
        <w:t>the percent viability and percent inhibition the planned series would actually produce, under each prior;</w:t>
      </w:r>
    </w:p>
    <w:p>
      <w:pPr>
        <w:pStyle w:val="ListBullet"/>
      </w:pPr>
      <w:r>
        <w:t>the top dose required for 95% probability of bracketing the IC₅₀;</w:t>
      </w:r>
    </w:p>
    <w:p>
      <w:pPr>
        <w:pStyle w:val="ListBullet"/>
      </w:pPr>
      <w:r>
        <w:t>the error incurred by the manuscript's log-linear IC₅₀ method when the dose range is inadequate, and the R² that method would nonetheless report.</w:t>
      </w:r>
    </w:p>
    <w:p>
      <w:pPr>
        <w:spacing w:after="160"/>
      </w:pPr>
      <w:r>
        <w:t xml:space="preserve">A formal, evidence-based dose-range advisory was issued to the partner institution on the basis of this analysis, </w:t>
      </w:r>
      <w:r>
        <w:rPr>
          <w:b/>
        </w:rPr>
        <w:t>before</w:t>
      </w:r>
      <w:r>
        <w:t xml:space="preserve"> the assay was run. The recommendation and its supporting numbers are reproduced in the study's prediction registry.</w:t>
      </w:r>
    </w:p>
    <w:p>
      <w:pPr>
        <w:pStyle w:val="Heading3"/>
      </w:pPr>
      <w:r/>
      <w:r>
        <w:t>4.4 Activity classification</w:t>
      </w:r>
    </w:p>
    <w:p>
      <w:pPr>
        <w:spacing w:after="160"/>
      </w:pPr>
      <w:r>
        <w:t>Predicted potency is classified against the standard National Cancer Institute criterion for crude plant extracts (active if IC₅₀ ≤ 20–30 µg/mL), and the expected verdict stated in advance so that it cannot be retrofitted to the observed result.</w:t>
      </w:r>
    </w:p>
    <w:p>
      <w:pPr>
        <w:pStyle w:val="Heading2"/>
      </w:pPr>
      <w:r/>
      <w:r>
        <w:t>5. Phase D — Virtual MTT assay</w:t>
      </w:r>
    </w:p>
    <w:p>
      <w:pPr>
        <w:pStyle w:val="Heading3"/>
      </w:pPr>
      <w:r/>
      <w:r>
        <w:t>5.1 Plate model</w:t>
      </w:r>
    </w:p>
    <w:p>
      <w:pPr>
        <w:spacing w:after="160"/>
      </w:pPr>
      <w:r>
        <w:t xml:space="preserve">The 96-well experiment is simulated well by well. The simulated layout comprises: cell-free blank wells (medium + MTT); untreated negative-control wells; </w:t>
      </w:r>
      <w:r>
        <w:rPr>
          <w:b/>
        </w:rPr>
        <w:t>vehicle-control wells</w:t>
      </w:r>
      <w:r>
        <w:t xml:space="preserve"> (cells + medium + solvent at the highest final concentration used); positive-control wells (doxorubicin); one group per extract dose; and </w:t>
      </w:r>
      <w:r>
        <w:rPr>
          <w:b/>
        </w:rPr>
        <w:t>cell-free interference wells</w:t>
      </w:r>
      <w:r>
        <w:t xml:space="preserve"> containing extract + medium + MTT at every dose.</w:t>
      </w:r>
    </w:p>
    <w:p>
      <w:pPr>
        <w:spacing w:after="160"/>
      </w:pPr>
      <w:r>
        <w:t>The last two groups correspond to controls absent from the original research plan and are described in Section 7.</w:t>
      </w:r>
    </w:p>
    <w:p>
      <w:pPr>
        <w:spacing w:after="160"/>
      </w:pPr>
      <w:r>
        <w:t xml:space="preserve">By default the plate </w:t>
      </w:r>
      <w:r>
        <w:rPr>
          <w:b/>
        </w:rPr>
        <w:t>perimeter is left empty</w:t>
      </w:r>
      <w:r>
        <w:t>, because edge wells are subject to evaporation bias. The simulator reports explicitly when a requested replicate structure no longer fits the 60 interior wells and would force the lab onto the perimeter — a real experimental constraint, not a software limitation.</w:t>
      </w:r>
    </w:p>
    <w:p>
      <w:pPr>
        <w:spacing w:after="160"/>
      </w:pPr>
      <w:r>
        <w:t>Assay parameters unspecified in the original plan were pinned to defensible values: seeding density 5 × 10³–1 × 10⁴ cells/well, 24 h attachment, 48 h treatment exposure, MTT at 0.5 mg/mL for 4 h, formazan solubilised in DMSO, absorbance read at 570 nm with 630 nm reference subtraction, final solvent ≤ 0.5% v/v.</w:t>
      </w:r>
    </w:p>
    <w:p>
      <w:pPr>
        <w:pStyle w:val="Heading3"/>
      </w:pPr>
      <w:r/>
      <w:r>
        <w:t>5.2 Generative model</w:t>
      </w:r>
    </w:p>
    <w:p>
      <w:pPr>
        <w:spacing w:after="160"/>
      </w:pPr>
      <w:r>
        <w:t>Ground-truth viability follows a four-parameter logistic function:</w:t>
      </w:r>
    </w:p>
    <w:p>
      <w:pPr>
        <w:spacing w:after="160"/>
        <w:ind w:left="432"/>
      </w:pPr>
      <w:r>
        <w:rPr>
          <w:rFonts w:ascii="Consolas" w:hAnsi="Consolas"/>
          <w:color w:val="222222"/>
          <w:sz w:val="18"/>
        </w:rPr>
        <w:t>V(C) = V_min + (V_max − V_min) / (1 + (C / IC50)^H)</w:t>
      </w:r>
    </w:p>
    <w:p>
      <w:pPr>
        <w:spacing w:after="160"/>
      </w:pPr>
      <w:r>
        <w:t>with V_max = 100%, V_min the bottom plateau (default 8%, typical of crude extracts), IC₅₀ taken from Phase C, and Hill slope H sampled over 0.8–1.8.</w:t>
      </w:r>
    </w:p>
    <w:p>
      <w:pPr>
        <w:spacing w:after="160"/>
      </w:pPr>
      <w:r>
        <w:t>Solvent cytotoxicity multiplies on top of the extract effect in every treated well.</w:t>
      </w:r>
    </w:p>
    <w:p>
      <w:pPr>
        <w:spacing w:after="160"/>
      </w:pPr>
      <w:r>
        <w:t>Simulated absorbance for a single well is:</w:t>
      </w:r>
    </w:p>
    <w:p>
      <w:pPr>
        <w:spacing w:after="160"/>
        <w:ind w:left="432"/>
      </w:pPr>
      <w:r>
        <w:rPr>
          <w:rFonts w:ascii="Consolas" w:hAnsi="Consolas"/>
          <w:color w:val="222222"/>
          <w:sz w:val="18"/>
        </w:rPr>
        <w:t>A = A_blank</w:t>
        <w:br/>
        <w:t xml:space="preserve">    + (A_ctrl − A_blank) · V(C)/100 · (1 + ε_well) · g_plate     [cell-containing wells]</w:t>
        <w:br/>
        <w:t xml:space="preserve">    + k_interference · C                                          [any extract-containing well]</w:t>
        <w:br/>
        <w:t xml:space="preserve">    + δ_edge                                                      [perimeter wells only]</w:t>
        <w:br/>
        <w:t xml:space="preserve">    + η_read</w:t>
      </w:r>
    </w:p>
    <w:p>
      <w:pPr>
        <w:spacing w:after="160"/>
      </w:pPr>
      <w:r>
        <w:t>with default parameters A_blank = 0.05, A_ctrl = 1.00, well-level CV ε_well ~ N(0, 0.06), plate-level gain g_plate ~ N(1, 0.08) drawn once per independent biological run, plate-reader noise η_read ~ N(0, 0.005), and edge bias δ_edge = 0.08 OD.</w:t>
      </w:r>
    </w:p>
    <w:p>
      <w:pPr>
        <w:spacing w:after="160"/>
      </w:pPr>
      <w:r>
        <w:t xml:space="preserve">The interference term k·C is applied </w:t>
      </w:r>
      <w:r>
        <w:rPr>
          <w:b/>
        </w:rPr>
        <w:t>whether or not cells are present</w:t>
      </w:r>
      <w:r>
        <w:t>, which is precisely what makes it recoverable by cell-free control wells and what makes it invisible without them.</w:t>
      </w:r>
    </w:p>
    <w:p>
      <w:pPr>
        <w:pStyle w:val="Heading3"/>
      </w:pPr>
      <w:r/>
      <w:r>
        <w:t>5.3 Analysis of simulated data</w:t>
      </w:r>
    </w:p>
    <w:p>
      <w:pPr>
        <w:spacing w:after="160"/>
      </w:pPr>
      <w:r>
        <w:t>Simulated absorbances are analysed by exactly the pipeline the manuscript specifies:</w:t>
      </w:r>
    </w:p>
    <w:p>
      <w:pPr>
        <w:spacing w:after="160"/>
        <w:ind w:left="432"/>
      </w:pPr>
      <w:r>
        <w:rPr>
          <w:rFonts w:ascii="Consolas" w:hAnsi="Consolas"/>
          <w:color w:val="222222"/>
          <w:sz w:val="18"/>
        </w:rPr>
        <w:t>%Viability     = [(Abs_sample − Abs_blank) / (Abs_control − Abs_blank)] × 100</w:t>
        <w:br/>
        <w:t>%Cytotoxicity  = 100 − %Viability</w:t>
        <w:br/>
        <w:t>IC50           : linear regression of %viability on log₁₀(concentration), solved at y = 50</w:t>
      </w:r>
    </w:p>
    <w:p>
      <w:pPr>
        <w:spacing w:after="160"/>
      </w:pPr>
      <w:r>
        <w:t>with results reported as mean ± SD per group. A four-parameter logistic fit is computed in parallel as a sensitivity analysis. Where the log-linear solution falls outside the tested concentration range, it is flagged as an extrapolation rather than reported as a determination.</w:t>
      </w:r>
    </w:p>
    <w:p>
      <w:pPr>
        <w:spacing w:after="160"/>
      </w:pPr>
      <w:r>
        <w:t xml:space="preserve">Because the true generating IC₅₀ is known in simulation, the </w:t>
      </w:r>
      <w:r>
        <w:rPr>
          <w:b/>
        </w:rPr>
        <w:t>estimand</w:t>
      </w:r>
      <w:r>
        <w:t xml:space="preserve"> is defined precisely: it is the concentration at which </w:t>
      </w:r>
      <w:r>
        <w:rPr>
          <w:i/>
        </w:rPr>
        <w:t>measured</w:t>
      </w:r>
      <w:r>
        <w:t xml:space="preserve"> viability equals 50%, solved numerically. This is not identical to the 4PL midpoint parameter, because the bottom plateau lies above zero and because normalising to a medium-only control folds vehicle cytotoxicity into the apparent extract effect. Distinguishing these is necessary for the bias estimates below to mean anything.</w:t>
      </w:r>
    </w:p>
    <w:p>
      <w:pPr>
        <w:pStyle w:val="Heading3"/>
      </w:pPr>
      <w:r/>
      <w:r>
        <w:t>5.4 Monte Carlo experiments</w:t>
      </w:r>
    </w:p>
    <w:p>
      <w:pPr>
        <w:spacing w:after="160"/>
      </w:pPr>
      <w:r>
        <w:t>Five Monte Carlo experiments were run, each repeating the full simulate-and-analyse cycle with fresh noise across a grid of conditions.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ID</w:t>
            </w:r>
          </w:p>
        </w:tc>
        <w:tc>
          <w:tcPr>
            <w:tcW w:type="dxa" w:w="2880"/>
          </w:tcPr>
          <w:p>
            <w:r>
              <w:rPr>
                <w:b/>
              </w:rPr>
            </w:r>
            <w:r>
              <w:rPr>
                <w:b/>
              </w:rPr>
              <w:t>Question</w:t>
            </w:r>
          </w:p>
        </w:tc>
        <w:tc>
          <w:tcPr>
            <w:tcW w:type="dxa" w:w="2880"/>
          </w:tcPr>
          <w:p>
            <w:r>
              <w:rPr>
                <w:b/>
              </w:rPr>
            </w:r>
            <w:r>
              <w:rPr>
                <w:b/>
              </w:rPr>
              <w:t>Design</w:t>
            </w:r>
          </w:p>
        </w:tc>
      </w:tr>
      <w:tr>
        <w:tc>
          <w:tcPr>
            <w:tcW w:type="dxa" w:w="2880"/>
          </w:tcPr>
          <w:p>
            <w:r/>
            <w:r>
              <w:rPr>
                <w:b/>
              </w:rPr>
              <w:t>E1</w:t>
            </w:r>
          </w:p>
        </w:tc>
        <w:tc>
          <w:tcPr>
            <w:tcW w:type="dxa" w:w="2880"/>
          </w:tcPr>
          <w:p>
            <w:r/>
            <w:r>
              <w:t>Is the planned dose range capable of determining IC₅₀?</w:t>
            </w:r>
          </w:p>
        </w:tc>
        <w:tc>
          <w:tcPr>
            <w:tcW w:type="dxa" w:w="2880"/>
          </w:tcPr>
          <w:p>
            <w:r/>
            <w:r>
              <w:t>True IC₅₀ swept across 25–1000 µg/mL; reports the proportion of experiments bracketing 50% inhibition, the proportion yielding an extrapolated IC₅₀, and the median bias and CV of both the log-linear and 4PL estimators</w:t>
            </w:r>
          </w:p>
        </w:tc>
      </w:tr>
      <w:tr>
        <w:tc>
          <w:tcPr>
            <w:tcW w:type="dxa" w:w="2880"/>
          </w:tcPr>
          <w:p>
            <w:r/>
            <w:r>
              <w:rPr>
                <w:b/>
              </w:rPr>
              <w:t>E2</w:t>
            </w:r>
          </w:p>
        </w:tc>
        <w:tc>
          <w:tcPr>
            <w:tcW w:type="dxa" w:w="2880"/>
          </w:tcPr>
          <w:p>
            <w:r/>
            <w:r>
              <w:t>How many replicates are needed?</w:t>
            </w:r>
          </w:p>
        </w:tc>
        <w:tc>
          <w:tcPr>
            <w:tcW w:type="dxa" w:w="2880"/>
          </w:tcPr>
          <w:p>
            <w:r/>
            <w:r>
              <w:t>Technical replicates n = 3, 4, 6, 8 crossed with 1 and 3 independent biological runs, at two plausible true IC₅₀ values; reports ANOVA power, per-dose Tukey power against the negative control, and the probability that Shapiro–Wilk rejects normality (i.e. how often the real analysis lands on the Kruskal–Wallis branch)</w:t>
            </w:r>
          </w:p>
        </w:tc>
      </w:tr>
      <w:tr>
        <w:tc>
          <w:tcPr>
            <w:tcW w:type="dxa" w:w="2880"/>
          </w:tcPr>
          <w:p>
            <w:r/>
            <w:r>
              <w:rPr>
                <w:b/>
              </w:rPr>
              <w:t>E3</w:t>
            </w:r>
          </w:p>
        </w:tc>
        <w:tc>
          <w:tcPr>
            <w:tcW w:type="dxa" w:w="2880"/>
          </w:tcPr>
          <w:p>
            <w:r/>
            <w:r>
              <w:t>How much does omitting the vehicle control distort IC₅₀?</w:t>
            </w:r>
          </w:p>
        </w:tc>
        <w:tc>
          <w:tcPr>
            <w:tcW w:type="dxa" w:w="2880"/>
          </w:tcPr>
          <w:p>
            <w:r/>
            <w:r>
              <w:t>Vehicle viability swept from 100% to 80%; IC₅₀ estimated normalising to medium-only versus to vehicle</w:t>
            </w:r>
          </w:p>
        </w:tc>
      </w:tr>
      <w:tr>
        <w:tc>
          <w:tcPr>
            <w:tcW w:type="dxa" w:w="2880"/>
          </w:tcPr>
          <w:p>
            <w:r/>
            <w:r>
              <w:rPr>
                <w:b/>
              </w:rPr>
              <w:t>E4</w:t>
            </w:r>
          </w:p>
        </w:tc>
        <w:tc>
          <w:tcPr>
            <w:tcW w:type="dxa" w:w="2880"/>
          </w:tcPr>
          <w:p>
            <w:r/>
            <w:r>
              <w:t>How much does polyphenol–MTT interference distort the result?</w:t>
            </w:r>
          </w:p>
        </w:tc>
        <w:tc>
          <w:tcPr>
            <w:tcW w:type="dxa" w:w="2880"/>
          </w:tcPr>
          <w:p>
            <w:r/>
            <w:r>
              <w:t>Interference coefficient swept 0–0.0020 OD per µg/mL, with and without cell-free control subtraction</w:t>
            </w:r>
          </w:p>
        </w:tc>
      </w:tr>
      <w:tr>
        <w:tc>
          <w:tcPr>
            <w:tcW w:type="dxa" w:w="2880"/>
          </w:tcPr>
          <w:p>
            <w:r/>
            <w:r>
              <w:rPr>
                <w:b/>
              </w:rPr>
              <w:t>E5</w:t>
            </w:r>
          </w:p>
        </w:tc>
        <w:tc>
          <w:tcPr>
            <w:tcW w:type="dxa" w:w="2880"/>
          </w:tcPr>
          <w:p>
            <w:r/>
            <w:r>
              <w:t>What does using the plate perimeter cost?</w:t>
            </w:r>
          </w:p>
        </w:tc>
        <w:tc>
          <w:tcPr>
            <w:tcW w:type="dxa" w:w="2880"/>
          </w:tcPr>
          <w:p>
            <w:r/>
            <w:r>
              <w:t>Perimeter used versus left empty; reports bias and CV of the resulting IC₅₀</w:t>
            </w:r>
          </w:p>
        </w:tc>
      </w:tr>
    </w:tbl>
    <w:p/>
    <w:p>
      <w:pPr>
        <w:pStyle w:val="Heading3"/>
      </w:pPr>
      <w:r/>
      <w:r>
        <w:t>5.5 Sensitivity analysis</w:t>
      </w:r>
    </w:p>
    <w:p>
      <w:pPr>
        <w:spacing w:after="160"/>
      </w:pPr>
      <w:r>
        <w:t>Model assumptions were swept across plausible ranges — true IC₅₀ over a 10-fold band, well CV from 3% to 15%, Hill slope 0.8–1.8, unidentified extract mass fraction 0–60% — and their influence on the conclusion ranked. This identifies in advance which single assumption, if wrong, would break the prediction, and it is the reference against which any failed prediction is diagnosed in Phase F.</w:t>
      </w:r>
    </w:p>
    <w:p>
      <w:pPr>
        <w:pStyle w:val="Heading2"/>
      </w:pPr>
      <w:r/>
      <w:r>
        <w:t>6. Amendment — consequences of the composition data not being available</w:t>
      </w:r>
    </w:p>
    <w:p>
      <w:pPr>
        <w:spacing w:after="160"/>
      </w:pPr>
      <w:r>
        <w:rPr>
          <w:b/>
        </w:rPr>
        <w:t>Recorded 2026-08-20.</w:t>
      </w:r>
      <w:r>
        <w:t xml:space="preserve"> The partner institution confirmed that the deliverable accompanying the MTT assay will </w:t>
      </w:r>
      <w:r>
        <w:rPr>
          <w:b/>
        </w:rPr>
        <w:t>not</w:t>
      </w:r>
      <w:r>
        <w:t xml:space="preserve"> include relative peak area or PubChem CID for the extract constituents — that is, no quantitative GC-MS/LC-MS composition table.</w:t>
      </w:r>
    </w:p>
    <w:p>
      <w:pPr>
        <w:spacing w:after="160"/>
      </w:pPr>
      <w:r>
        <w:t>This has specific, bounded consequences, recorded here rather than silently absorbed:</w:t>
      </w:r>
    </w:p>
    <w:p>
      <w:pPr>
        <w:spacing w:after="160"/>
      </w:pPr>
      <w:r>
        <w:rPr>
          <w:b/>
        </w:rPr>
        <w:t>What becomes impossible.</w:t>
      </w:r>
    </w:p>
    <w:p>
      <w:pPr>
        <w:pStyle w:val="ListBullet"/>
      </w:pPr>
      <w:r>
        <w:t xml:space="preserve">The composition vector </w:t>
      </w:r>
      <w:r>
        <w:rPr>
          <w:i/>
        </w:rPr>
        <w:t>pᵢ</w:t>
      </w:r>
      <w:r>
        <w:t xml:space="preserve"> cannot be constructed. Any bottom-up mixture calculation — concentration addition or Bliss — is unavailable regardless of the quality of the underlying potency estimates. Since that route had already been retired on independent grounds (Section 4.1), the practical loss to the potency prediction is nil.</w:t>
      </w:r>
    </w:p>
    <w:p>
      <w:pPr>
        <w:pStyle w:val="ListBullet"/>
      </w:pPr>
      <w:r>
        <w:t xml:space="preserve">Batch-specific constituent identity cannot be confirmed. Docking, ADMET and network pharmacology are therefore performed on the </w:t>
      </w:r>
      <w:r>
        <w:rPr>
          <w:b/>
        </w:rPr>
        <w:t>literature-derived</w:t>
      </w:r>
      <w:r>
        <w:t xml:space="preserve"> library (Section 2.1), and every such result is reported as pertaining to </w:t>
      </w:r>
      <w:r>
        <w:rPr>
          <w:i/>
        </w:rPr>
        <w:t>M. oleifera</w:t>
      </w:r>
      <w:r>
        <w:t xml:space="preserve"> constituents </w:t>
      </w:r>
      <w:r>
        <w:rPr>
          <w:b/>
        </w:rPr>
        <w:t>reported in the literature</w:t>
      </w:r>
      <w:r>
        <w:t xml:space="preserve">, not to constituents </w:t>
      </w:r>
      <w:r>
        <w:rPr>
          <w:i/>
        </w:rPr>
        <w:t>verified present in this batch</w:t>
      </w:r>
      <w:r>
        <w:t>.</w:t>
      </w:r>
    </w:p>
    <w:p>
      <w:pPr>
        <w:pStyle w:val="ListBullet"/>
      </w:pPr>
      <w:r>
        <w:t>Calibration of the MTT interference coefficient from measured total phenolic content is not possible; the interference term is instead swept across a plausible range in E4 and reported as a bounded scenario rather than a point estimate.</w:t>
      </w:r>
    </w:p>
    <w:p>
      <w:pPr>
        <w:spacing w:after="160"/>
      </w:pPr>
      <w:r>
        <w:rPr>
          <w:b/>
        </w:rPr>
        <w:t>What is unaffected.</w:t>
      </w:r>
    </w:p>
    <w:p>
      <w:pPr>
        <w:pStyle w:val="ListBullet"/>
      </w:pPr>
      <w:r>
        <w:t>The literature-prior potency estimate and the dose-range advisory (Section 4.2–4.3) never depended on composition data.</w:t>
      </w:r>
    </w:p>
    <w:p>
      <w:pPr>
        <w:pStyle w:val="ListBullet"/>
      </w:pPr>
      <w:r>
        <w:t>The entire virtual MTT assay, Monte Carlo power analysis and control-set evaluation (Section 5) are independent of extract chemistry.</w:t>
      </w:r>
    </w:p>
    <w:p>
      <w:pPr>
        <w:pStyle w:val="ListBullet"/>
      </w:pPr>
      <w:r>
        <w:t>The statistics mirror, pre-registration and validation phases are unaffected.</w:t>
      </w:r>
    </w:p>
    <w:p>
      <w:pPr>
        <w:pStyle w:val="ListBullet"/>
      </w:pPr>
      <w:r>
        <w:t>Docking-based mechanistic hypotheses remain valid as hypotheses about the plant's known chemistry.</w:t>
      </w:r>
    </w:p>
    <w:p>
      <w:pPr>
        <w:spacing w:after="160"/>
      </w:pPr>
      <w:r>
        <w:rPr>
          <w:b/>
        </w:rPr>
        <w:t>Reporting consequence.</w:t>
      </w:r>
      <w:r>
        <w:t xml:space="preserve"> The manuscript must state that constituent-level analyses are literature-based and not batch-verified, and must not present the docking or network results as describing the tested material's actual composition. This is recorded as Limitation 1 (Section 9).</w:t>
      </w:r>
    </w:p>
    <w:p>
      <w:pPr>
        <w:spacing w:after="160"/>
      </w:pPr>
      <w:r>
        <w:rPr>
          <w:b/>
        </w:rPr>
        <w:t>Minimum useful request that remains open.</w:t>
      </w:r>
      <w:r>
        <w:t xml:space="preserve"> Even without a full quantitative peak table, three items would materially improve the study and should still be requested: (i) a </w:t>
      </w:r>
      <w:r>
        <w:rPr>
          <w:b/>
        </w:rPr>
        <w:t>qualitative</w:t>
      </w:r>
      <w:r>
        <w:t xml:space="preserve"> list of compound names identified, with library match scores, which would let the literature library be filtered to plausibly-present compounds; (ii) extract yield, reconstitution solvent and stock concentration, needed to interpret the dose in µg/mL and to set the vehicle control; and (iii) </w:t>
      </w:r>
      <w:r>
        <w:rPr>
          <w:b/>
        </w:rPr>
        <w:t>raw per-well absorbance values</w:t>
      </w:r>
      <w:r>
        <w:t xml:space="preserve"> after the assay, without which the sealed prediction cannot be scored against the manuscript's own formula.</w:t>
      </w:r>
    </w:p>
    <w:p>
      <w:pPr>
        <w:pStyle w:val="Heading2"/>
      </w:pPr>
      <w:r/>
      <w:r>
        <w:t>7. Methodological defects identified in the original research plan</w:t>
      </w:r>
    </w:p>
    <w:p>
      <w:pPr>
        <w:spacing w:after="160"/>
      </w:pPr>
      <w:r>
        <w:t>The in silico arm was also used to audit the wet-lab design. Nine issues were identified; those that the computational work directly addresses are marked.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r>
            <w:r>
              <w:rPr>
                <w:b/>
              </w:rPr>
              <w:t>#</w:t>
            </w:r>
          </w:p>
        </w:tc>
        <w:tc>
          <w:tcPr>
            <w:tcW w:type="dxa" w:w="2160"/>
          </w:tcPr>
          <w:p>
            <w:r>
              <w:rPr>
                <w:b/>
              </w:rPr>
            </w:r>
            <w:r>
              <w:rPr>
                <w:b/>
              </w:rPr>
              <w:t>Issue</w:t>
            </w:r>
          </w:p>
        </w:tc>
        <w:tc>
          <w:tcPr>
            <w:tcW w:type="dxa" w:w="2160"/>
          </w:tcPr>
          <w:p>
            <w:r>
              <w:rPr>
                <w:b/>
              </w:rPr>
            </w:r>
            <w:r>
              <w:rPr>
                <w:b/>
              </w:rPr>
              <w:t>Severity</w:t>
            </w:r>
          </w:p>
        </w:tc>
        <w:tc>
          <w:tcPr>
            <w:tcW w:type="dxa" w:w="2160"/>
          </w:tcPr>
          <w:p>
            <w:r>
              <w:rPr>
                <w:b/>
              </w:rPr>
            </w:r>
            <w:r>
              <w:rPr>
                <w:b/>
              </w:rPr>
              <w:t>Addressed by</w:t>
            </w:r>
          </w:p>
        </w:tc>
      </w:tr>
      <w:tr>
        <w:tc>
          <w:tcPr>
            <w:tcW w:type="dxa" w:w="2160"/>
          </w:tcPr>
          <w:p>
            <w:r/>
            <w:r>
              <w:rPr>
                <w:b/>
              </w:rPr>
              <w:t>D1</w:t>
            </w:r>
          </w:p>
        </w:tc>
        <w:tc>
          <w:tcPr>
            <w:tcW w:type="dxa" w:w="2160"/>
          </w:tcPr>
          <w:p>
            <w:r/>
            <w:r>
              <w:t>No vehicle control. A rotary-evaporated crude extract must be reconstituted in DMSO or ethanol; without a solvent-only control at the same final concentration, solvent cytotoxicity is indistinguishable from extract cytotoxicity</w:t>
            </w:r>
          </w:p>
        </w:tc>
        <w:tc>
          <w:tcPr>
            <w:tcW w:type="dxa" w:w="2160"/>
          </w:tcPr>
          <w:p>
            <w:r/>
            <w:r>
              <w:t>Critical</w:t>
            </w:r>
          </w:p>
        </w:tc>
        <w:tc>
          <w:tcPr>
            <w:tcW w:type="dxa" w:w="2160"/>
          </w:tcPr>
          <w:p>
            <w:r/>
            <w:r>
              <w:t>Simulated and quantified in E3; vehicle group added to the recommended layout</w:t>
            </w:r>
          </w:p>
        </w:tc>
      </w:tr>
      <w:tr>
        <w:tc>
          <w:tcPr>
            <w:tcW w:type="dxa" w:w="2160"/>
          </w:tcPr>
          <w:p>
            <w:r/>
            <w:r>
              <w:rPr>
                <w:b/>
              </w:rPr>
              <w:t>D2</w:t>
            </w:r>
          </w:p>
        </w:tc>
        <w:tc>
          <w:tcPr>
            <w:tcW w:type="dxa" w:w="2160"/>
          </w:tcPr>
          <w:p>
            <w:r/>
            <w:r>
              <w:t>The 200 ppm ceiling is likely below the true IC₅₀, in which case viability never crosses 50% and the regression solution becomes an invalid extrapolation</w:t>
            </w:r>
          </w:p>
        </w:tc>
        <w:tc>
          <w:tcPr>
            <w:tcW w:type="dxa" w:w="2160"/>
          </w:tcPr>
          <w:p>
            <w:r/>
            <w:r>
              <w:t>Critical</w:t>
            </w:r>
          </w:p>
        </w:tc>
        <w:tc>
          <w:tcPr>
            <w:tcW w:type="dxa" w:w="2160"/>
          </w:tcPr>
          <w:p>
            <w:r/>
            <w:r>
              <w:t>Quantified in Phase C.3 and E1; formal dose-range advisory issued pre-assay</w:t>
            </w:r>
          </w:p>
        </w:tc>
      </w:tr>
      <w:tr>
        <w:tc>
          <w:tcPr>
            <w:tcW w:type="dxa" w:w="2160"/>
          </w:tcPr>
          <w:p>
            <w:r/>
            <w:r>
              <w:rPr>
                <w:b/>
              </w:rPr>
              <w:t>D3</w:t>
            </w:r>
          </w:p>
        </w:tc>
        <w:tc>
          <w:tcPr>
            <w:tcW w:type="dxa" w:w="2160"/>
          </w:tcPr>
          <w:p>
            <w:r/>
            <w:r>
              <w:t>"McCoy's medium" is the standard medium for HT-29 colorectal cells; ATCC specifies F-12K for A549 (CCL-185), with RPMI-1640 or DMEM + 10% FBS also standard</w:t>
            </w:r>
          </w:p>
        </w:tc>
        <w:tc>
          <w:tcPr>
            <w:tcW w:type="dxa" w:w="2160"/>
          </w:tcPr>
          <w:p>
            <w:r/>
            <w:r>
              <w:t>High</w:t>
            </w:r>
          </w:p>
        </w:tc>
        <w:tc>
          <w:tcPr>
            <w:tcW w:type="dxa" w:w="2160"/>
          </w:tcPr>
          <w:p>
            <w:r/>
            <w:r>
              <w:t>Flagged for confirmation in the data request</w:t>
            </w:r>
          </w:p>
        </w:tc>
      </w:tr>
      <w:tr>
        <w:tc>
          <w:tcPr>
            <w:tcW w:type="dxa" w:w="2160"/>
          </w:tcPr>
          <w:p>
            <w:r/>
            <w:r>
              <w:rPr>
                <w:b/>
              </w:rPr>
              <w:t>D4</w:t>
            </w:r>
          </w:p>
        </w:tc>
        <w:tc>
          <w:tcPr>
            <w:tcW w:type="dxa" w:w="2160"/>
          </w:tcPr>
          <w:p>
            <w:r/>
            <w:r>
              <w:t>Template artifacts from a source paper on a different extract and cell line (paclitaxel/doxorubicin contradiction, "peel solution", "breast cancer", nomenclature and citation errors)</w:t>
            </w:r>
          </w:p>
        </w:tc>
        <w:tc>
          <w:tcPr>
            <w:tcW w:type="dxa" w:w="2160"/>
          </w:tcPr>
          <w:p>
            <w:r/>
            <w:r>
              <w:t>High (credibility)</w:t>
            </w:r>
          </w:p>
        </w:tc>
        <w:tc>
          <w:tcPr>
            <w:tcW w:type="dxa" w:w="2160"/>
          </w:tcPr>
          <w:p>
            <w:r/>
            <w:r>
              <w:t>Enumerated for correction</w:t>
            </w:r>
          </w:p>
        </w:tc>
      </w:tr>
      <w:tr>
        <w:tc>
          <w:tcPr>
            <w:tcW w:type="dxa" w:w="2160"/>
          </w:tcPr>
          <w:p>
            <w:r/>
            <w:r>
              <w:rPr>
                <w:b/>
              </w:rPr>
              <w:t>D5</w:t>
            </w:r>
          </w:p>
        </w:tc>
        <w:tc>
          <w:tcPr>
            <w:tcW w:type="dxa" w:w="2160"/>
          </w:tcPr>
          <w:p>
            <w:r/>
            <w:r>
              <w:t>Log-linear IC₅₀ regression is only defensible over the near-linear 20–80% region of a sigmoidal curve</w:t>
            </w:r>
          </w:p>
        </w:tc>
        <w:tc>
          <w:tcPr>
            <w:tcW w:type="dxa" w:w="2160"/>
          </w:tcPr>
          <w:p>
            <w:r/>
            <w:r>
              <w:t>Moderate</w:t>
            </w:r>
          </w:p>
        </w:tc>
        <w:tc>
          <w:tcPr>
            <w:tcW w:type="dxa" w:w="2160"/>
          </w:tcPr>
          <w:p>
            <w:r/>
            <w:r>
              <w:t>Both estimators computed throughout; log-linear reported as primary for protocol fidelity, 4PL as sensitivity analysis</w:t>
            </w:r>
          </w:p>
        </w:tc>
      </w:tr>
      <w:tr>
        <w:tc>
          <w:tcPr>
            <w:tcW w:type="dxa" w:w="2160"/>
          </w:tcPr>
          <w:p>
            <w:r/>
            <w:r>
              <w:rPr>
                <w:b/>
              </w:rPr>
              <w:t>D6</w:t>
            </w:r>
          </w:p>
        </w:tc>
        <w:tc>
          <w:tcPr>
            <w:tcW w:type="dxa" w:w="2160"/>
          </w:tcPr>
          <w:p>
            <w:r/>
            <w:r>
              <w:t>Polyphenol–MTT chemical interference is uncontrolled; phenolic compounds reduce tetrazolium directly with no cells present, inflating apparent viability</w:t>
            </w:r>
          </w:p>
        </w:tc>
        <w:tc>
          <w:tcPr>
            <w:tcW w:type="dxa" w:w="2160"/>
          </w:tcPr>
          <w:p>
            <w:r/>
            <w:r>
              <w:t>Moderate</w:t>
            </w:r>
          </w:p>
        </w:tc>
        <w:tc>
          <w:tcPr>
            <w:tcW w:type="dxa" w:w="2160"/>
          </w:tcPr>
          <w:p>
            <w:r/>
            <w:r>
              <w:t>Modelled explicitly; quantified in E4; cell-free control wells added</w:t>
            </w:r>
          </w:p>
        </w:tc>
      </w:tr>
      <w:tr>
        <w:tc>
          <w:tcPr>
            <w:tcW w:type="dxa" w:w="2160"/>
          </w:tcPr>
          <w:p>
            <w:r/>
            <w:r>
              <w:rPr>
                <w:b/>
              </w:rPr>
              <w:t>D7</w:t>
            </w:r>
          </w:p>
        </w:tc>
        <w:tc>
          <w:tcPr>
            <w:tcW w:type="dxa" w:w="2160"/>
          </w:tcPr>
          <w:p>
            <w:r/>
            <w:r>
              <w:t>Seeding density, incubation and exposure times, replicate structure, MTT concentration and solubiliser all unspecified</w:t>
            </w:r>
          </w:p>
        </w:tc>
        <w:tc>
          <w:tcPr>
            <w:tcW w:type="dxa" w:w="2160"/>
          </w:tcPr>
          <w:p>
            <w:r/>
            <w:r>
              <w:t>Moderate</w:t>
            </w:r>
          </w:p>
        </w:tc>
        <w:tc>
          <w:tcPr>
            <w:tcW w:type="dxa" w:w="2160"/>
          </w:tcPr>
          <w:p>
            <w:r/>
            <w:r>
              <w:t>Pinned to defensible values in the simulator and written into a protocol addendum</w:t>
            </w:r>
          </w:p>
        </w:tc>
      </w:tr>
      <w:tr>
        <w:tc>
          <w:tcPr>
            <w:tcW w:type="dxa" w:w="2160"/>
          </w:tcPr>
          <w:p>
            <w:r/>
            <w:r>
              <w:rPr>
                <w:b/>
              </w:rPr>
              <w:t>D8</w:t>
            </w:r>
          </w:p>
        </w:tc>
        <w:tc>
          <w:tcPr>
            <w:tcW w:type="dxa" w:w="2160"/>
          </w:tcPr>
          <w:p>
            <w:r/>
            <w:r>
              <w:t>No selectivity control; cytotoxicity to A549 alone says nothing about therapeutic window</w:t>
            </w:r>
          </w:p>
        </w:tc>
        <w:tc>
          <w:tcPr>
            <w:tcW w:type="dxa" w:w="2160"/>
          </w:tcPr>
          <w:p>
            <w:r/>
            <w:r>
              <w:t>Moderate</w:t>
            </w:r>
          </w:p>
        </w:tc>
        <w:tc>
          <w:tcPr>
            <w:tcW w:type="dxa" w:w="2160"/>
          </w:tcPr>
          <w:p>
            <w:r/>
            <w:r>
              <w:t>Normal-lung QSAR dataset assembled; selectivity index reported from literature anchors where available</w:t>
            </w:r>
          </w:p>
        </w:tc>
      </w:tr>
      <w:tr>
        <w:tc>
          <w:tcPr>
            <w:tcW w:type="dxa" w:w="2160"/>
          </w:tcPr>
          <w:p>
            <w:r/>
            <w:r>
              <w:rPr>
                <w:b/>
              </w:rPr>
              <w:t>D9</w:t>
            </w:r>
          </w:p>
        </w:tc>
        <w:tc>
          <w:tcPr>
            <w:tcW w:type="dxa" w:w="2160"/>
          </w:tcPr>
          <w:p>
            <w:r/>
            <w:r>
              <w:t>Replicate structure never justified</w:t>
            </w:r>
          </w:p>
        </w:tc>
        <w:tc>
          <w:tcPr>
            <w:tcW w:type="dxa" w:w="2160"/>
          </w:tcPr>
          <w:p>
            <w:r/>
            <w:r>
              <w:t>Moderate</w:t>
            </w:r>
          </w:p>
        </w:tc>
        <w:tc>
          <w:tcPr>
            <w:tcW w:type="dxa" w:w="2160"/>
          </w:tcPr>
          <w:p>
            <w:r/>
            <w:r>
              <w:t>Power computed directly in E2</w:t>
            </w:r>
          </w:p>
        </w:tc>
      </w:tr>
    </w:tbl>
    <w:p/>
    <w:p>
      <w:pPr>
        <w:pStyle w:val="Heading2"/>
      </w:pPr>
      <w:r/>
      <w:r>
        <w:t>8. Phase E — Pre-registration</w:t>
      </w:r>
    </w:p>
    <w:p>
      <w:pPr>
        <w:spacing w:after="160"/>
      </w:pPr>
      <w:r>
        <w:t>Before any wet-lab data existed, the study's predictions were frozen in a machine-readable registry file containing: the predicted extract IC₅₀ as a point estimate with uncertainty interval under each prior; predicted percent viability with dispersion at each planned dose; the predicted dose rank order; the predicted ANOVA verdict; the predicted Tukey HSD significance pattern against the negative control; the predicted selectivity index; and the recommended replicate structure.</w:t>
      </w:r>
    </w:p>
    <w:p>
      <w:pPr>
        <w:spacing w:after="160"/>
      </w:pPr>
      <w:r>
        <w:t>The file was hashed with SHA-256 and the hash, timestamp and git commit recorded in a registry ledger and transmitted to the research adviser. The prediction file is never edited; any revision is issued as a new version with its own hash and a written justification for the change.</w:t>
      </w:r>
    </w:p>
    <w:p>
      <w:pPr>
        <w:spacing w:after="160"/>
      </w:pPr>
      <w:r>
        <w:t>Without this step, a subsequent claim that the computational results agreed with the experimental results would be unfalsifiable.</w:t>
      </w:r>
    </w:p>
    <w:p>
      <w:pPr>
        <w:pStyle w:val="Heading2"/>
      </w:pPr>
      <w:r/>
      <w:r>
        <w:t>9. Phase F — Validation against the observed data</w:t>
      </w:r>
    </w:p>
    <w:p>
      <w:pPr>
        <w:spacing w:after="160"/>
      </w:pPr>
      <w:r>
        <w:t xml:space="preserve">When raw per-well absorbance values are returned, they are processed through the </w:t>
      </w:r>
      <w:r>
        <w:rPr>
          <w:b/>
        </w:rPr>
        <w:t>same</w:t>
      </w:r>
      <w:r>
        <w:t xml:space="preserve"> statistics mirror used for the simulated data, and predicted values compared with observed on five axes:</w:t>
      </w:r>
    </w:p>
    <w:p>
      <w:pPr>
        <w:pStyle w:val="ListNumber"/>
      </w:pPr>
      <w:r>
        <w:rPr>
          <w:b/>
        </w:rPr>
        <w:t>Fold error</w:t>
      </w:r>
      <w:r>
        <w:t xml:space="preserve"> on IC₅₀ (predicted ÷ observed); success is defined as within 3-fold (Gate G5).</w:t>
      </w:r>
    </w:p>
    <w:p>
      <w:pPr>
        <w:pStyle w:val="ListNumber"/>
      </w:pPr>
      <w:r>
        <w:rPr>
          <w:b/>
        </w:rPr>
        <w:t>RMSE and MAE</w:t>
      </w:r>
      <w:r>
        <w:t xml:space="preserve"> on percent viability across the dose series; success is RMSE ≤ 15 percentage points.</w:t>
      </w:r>
    </w:p>
    <w:p>
      <w:pPr>
        <w:pStyle w:val="ListNumber"/>
      </w:pPr>
      <w:r>
        <w:rPr>
          <w:b/>
        </w:rPr>
        <w:t>Lin's concordance correlation coefficient</w:t>
      </w:r>
      <w:r>
        <w:t>, which penalises both poor correlation and systematic offset.</w:t>
      </w:r>
    </w:p>
    <w:p>
      <w:pPr>
        <w:pStyle w:val="ListNumber"/>
      </w:pPr>
      <w:r>
        <w:rPr>
          <w:b/>
        </w:rPr>
        <w:t>Spearman ρ</w:t>
      </w:r>
      <w:r>
        <w:t xml:space="preserve"> on dose rank order; success is ρ ≥ 0.9.</w:t>
      </w:r>
    </w:p>
    <w:p>
      <w:pPr>
        <w:pStyle w:val="ListNumber"/>
      </w:pPr>
      <w:r>
        <w:rPr>
          <w:b/>
        </w:rPr>
        <w:t>Bland–Altman analysis</w:t>
      </w:r>
      <w:r>
        <w:t xml:space="preserve"> of predicted versus observed viability, to expose concentration-dependent bias.</w:t>
      </w:r>
    </w:p>
    <w:p>
      <w:pPr>
        <w:spacing w:after="160"/>
      </w:pPr>
      <w:r>
        <w:t>Predicted and observed dose–response curves are overlaid in a single figure.</w:t>
      </w:r>
    </w:p>
    <w:p>
      <w:pPr>
        <w:spacing w:after="160"/>
      </w:pPr>
      <w:r>
        <w:t>If the prediction fails, it is diagnosed against the Section 5.5 sensitivity analysis, attributing the failure to a named cause — the potency prior, the applicability domain, the additivity assumption, MTT interference, solvent effects, or NRF2-mediated resistance — rather than reported as an unexplained discrepancy.</w:t>
      </w:r>
    </w:p>
    <w:p>
      <w:pPr>
        <w:pStyle w:val="Heading2"/>
      </w:pPr>
      <w:r/>
      <w:r>
        <w:t>10. Gate outcomes to date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Gate</w:t>
            </w:r>
          </w:p>
        </w:tc>
        <w:tc>
          <w:tcPr>
            <w:tcW w:type="dxa" w:w="2880"/>
          </w:tcPr>
          <w:p>
            <w:r>
              <w:rPr>
                <w:b/>
              </w:rPr>
            </w:r>
            <w:r>
              <w:rPr>
                <w:b/>
              </w:rPr>
              <w:t>Status</w:t>
            </w:r>
          </w:p>
        </w:tc>
        <w:tc>
          <w:tcPr>
            <w:tcW w:type="dxa" w:w="2880"/>
          </w:tcPr>
          <w:p>
            <w:r>
              <w:rPr>
                <w:b/>
              </w:rPr>
            </w:r>
            <w:r>
              <w:rPr>
                <w:b/>
              </w:rPr>
              <w:t>Result</w:t>
            </w:r>
          </w:p>
        </w:tc>
      </w:tr>
      <w:tr>
        <w:tc>
          <w:tcPr>
            <w:tcW w:type="dxa" w:w="2880"/>
          </w:tcPr>
          <w:p>
            <w:r/>
            <w:r>
              <w:rPr>
                <w:b/>
              </w:rPr>
              <w:t>G1</w:t>
            </w:r>
            <w:r>
              <w:t xml:space="preserve"> — docking validity</w:t>
            </w:r>
          </w:p>
        </w:tc>
        <w:tc>
          <w:tcPr>
            <w:tcW w:type="dxa" w:w="2880"/>
          </w:tcPr>
          <w:p>
            <w:r/>
            <w:r>
              <w:t>Pending</w:t>
            </w:r>
          </w:p>
        </w:tc>
        <w:tc>
          <w:tcPr>
            <w:tcW w:type="dxa" w:w="2880"/>
          </w:tcPr>
          <w:p>
            <w:r/>
            <w:r>
              <w:t>Target panel prepared; 15/16 structures accepted, TXNRD1 dropped for lack of a ligand-bound pocket</w:t>
            </w:r>
          </w:p>
        </w:tc>
      </w:tr>
      <w:tr>
        <w:tc>
          <w:tcPr>
            <w:tcW w:type="dxa" w:w="2880"/>
          </w:tcPr>
          <w:p>
            <w:r/>
            <w:r>
              <w:rPr>
                <w:b/>
              </w:rPr>
              <w:t>G2</w:t>
            </w:r>
            <w:r>
              <w:t xml:space="preserve"> — QSAR validity</w:t>
            </w:r>
          </w:p>
        </w:tc>
        <w:tc>
          <w:tcPr>
            <w:tcW w:type="dxa" w:w="2880"/>
          </w:tcPr>
          <w:p>
            <w:r/>
            <w:r>
              <w:rPr>
                <w:b/>
              </w:rPr>
              <w:t>Failed (scaffold split)</w:t>
            </w:r>
          </w:p>
        </w:tc>
        <w:tc>
          <w:tcPr>
            <w:tcW w:type="dxa" w:w="2880"/>
          </w:tcPr>
          <w:p>
            <w:r/>
            <w:r>
              <w:t>XGBoost: CV Q² = 0.638, test R² = 0.562 (threshold 0.60), y-randomisation Q² = −0.174. Passes on the random split (R² = 0.712). The scaffold figure governs. Consequence: QSAR demoted to ranking/triage only</w:t>
            </w:r>
          </w:p>
        </w:tc>
      </w:tr>
      <w:tr>
        <w:tc>
          <w:tcPr>
            <w:tcW w:type="dxa" w:w="2880"/>
          </w:tcPr>
          <w:p>
            <w:r/>
            <w:r>
              <w:rPr>
                <w:b/>
              </w:rPr>
              <w:t>G3(a)</w:t>
            </w:r>
            <w:r>
              <w:t xml:space="preserve"> — Python vs SciPy/statsmodels</w:t>
            </w:r>
          </w:p>
        </w:tc>
        <w:tc>
          <w:tcPr>
            <w:tcW w:type="dxa" w:w="2880"/>
          </w:tcPr>
          <w:p>
            <w:r/>
            <w:r>
              <w:rPr>
                <w:b/>
              </w:rPr>
              <w:t>Passed</w:t>
            </w:r>
          </w:p>
        </w:tc>
        <w:tc>
          <w:tcPr>
            <w:tcW w:type="dxa" w:w="2880"/>
          </w:tcPr>
          <w:p>
            <w:r/>
            <w:r>
              <w:t>All statistics reproduce independent implementations</w:t>
            </w:r>
          </w:p>
        </w:tc>
      </w:tr>
      <w:tr>
        <w:tc>
          <w:tcPr>
            <w:tcW w:type="dxa" w:w="2880"/>
          </w:tcPr>
          <w:p>
            <w:r/>
            <w:r>
              <w:rPr>
                <w:b/>
              </w:rPr>
              <w:t>G3(b)</w:t>
            </w:r>
            <w:r>
              <w:t xml:space="preserve"> — Python vs jamovi</w:t>
            </w:r>
          </w:p>
        </w:tc>
        <w:tc>
          <w:tcPr>
            <w:tcW w:type="dxa" w:w="2880"/>
          </w:tcPr>
          <w:p>
            <w:r/>
            <w:r>
              <w:t>Pending</w:t>
            </w:r>
          </w:p>
        </w:tc>
        <w:tc>
          <w:tcPr>
            <w:tcW w:type="dxa" w:w="2880"/>
          </w:tcPr>
          <w:p>
            <w:r/>
            <w:r>
              <w:t>Verification package generated; manual jamovi run outstanding</w:t>
            </w:r>
          </w:p>
        </w:tc>
      </w:tr>
      <w:tr>
        <w:tc>
          <w:tcPr>
            <w:tcW w:type="dxa" w:w="2880"/>
          </w:tcPr>
          <w:p>
            <w:r/>
            <w:r>
              <w:rPr>
                <w:b/>
              </w:rPr>
              <w:t>G4</w:t>
            </w:r>
            <w:r>
              <w:t xml:space="preserve"> — doxorubicin anchor</w:t>
            </w:r>
          </w:p>
        </w:tc>
        <w:tc>
          <w:tcPr>
            <w:tcW w:type="dxa" w:w="2880"/>
          </w:tcPr>
          <w:p>
            <w:r/>
            <w:r>
              <w:rPr>
                <w:b/>
              </w:rPr>
              <w:t>Passed</w:t>
            </w:r>
          </w:p>
        </w:tc>
        <w:tc>
          <w:tcPr>
            <w:tcW w:type="dxa" w:w="2880"/>
          </w:tcPr>
          <w:p>
            <w:r/>
            <w:r>
              <w:t>Predicted A549 IC₅₀ = 0.634 µM against a published 0.1–10 µM window, with doxorubicin and all reference cytotoxics held out of training</w:t>
            </w:r>
          </w:p>
        </w:tc>
      </w:tr>
      <w:tr>
        <w:tc>
          <w:tcPr>
            <w:tcW w:type="dxa" w:w="2880"/>
          </w:tcPr>
          <w:p>
            <w:r/>
            <w:r>
              <w:rPr>
                <w:b/>
              </w:rPr>
              <w:t>G5</w:t>
            </w:r>
            <w:r>
              <w:t xml:space="preserve"> — final validation</w:t>
            </w:r>
          </w:p>
        </w:tc>
        <w:tc>
          <w:tcPr>
            <w:tcW w:type="dxa" w:w="2880"/>
          </w:tcPr>
          <w:p>
            <w:r/>
            <w:r>
              <w:t>Not yet testable</w:t>
            </w:r>
          </w:p>
        </w:tc>
        <w:tc>
          <w:tcPr>
            <w:tcW w:type="dxa" w:w="2880"/>
          </w:tcPr>
          <w:p>
            <w:r/>
            <w:r>
              <w:t>Requires the wet-lab absorbance data</w:t>
            </w:r>
          </w:p>
        </w:tc>
      </w:tr>
    </w:tbl>
    <w:p/>
    <w:p>
      <w:pPr>
        <w:spacing w:after="160"/>
      </w:pPr>
      <w:r>
        <w:t>Gate G2's failure is reported as a finding, not concealed. It is the direct reason the extract-level prediction is built on a literature prior rather than on the model, and stating the failure is what makes the subsequent methodological choice defensible.</w:t>
      </w:r>
    </w:p>
    <w:p>
      <w:pPr>
        <w:pStyle w:val="Heading2"/>
      </w:pPr>
      <w:r/>
      <w:r>
        <w:t>11. Assumptions and limitations</w:t>
      </w:r>
    </w:p>
    <w:p>
      <w:pPr>
        <w:pStyle w:val="ListNumber"/>
      </w:pPr>
      <w:r>
        <w:rPr>
          <w:b/>
        </w:rPr>
        <w:t>Constituent-level analyses are literature-based, not batch-verified.</w:t>
      </w:r>
      <w:r>
        <w:t xml:space="preserve"> No quantitative composition data is available for the extract actually tested (Section 6). Docking, ADMET and network results describe </w:t>
      </w:r>
      <w:r>
        <w:rPr>
          <w:i/>
        </w:rPr>
        <w:t>M. oleifera</w:t>
      </w:r>
      <w:r>
        <w:t xml:space="preserve"> chemistry as reported in the literature.</w:t>
      </w:r>
    </w:p>
    <w:p>
      <w:pPr>
        <w:pStyle w:val="ListNumber"/>
      </w:pPr>
      <w:r>
        <w:rPr>
          <w:b/>
        </w:rPr>
        <w:t>No published A549 data exists for *M. oleifera* bark.</w:t>
      </w:r>
      <w:r>
        <w:t xml:space="preserve"> The potency prior is built from leaf and fractionated extracts. Bark differs materially in tannin, alkaloid and isothiocyanate content, so the true value may lie outside the prior. This is simultaneously the study's novelty and its principal uncertainty.</w:t>
      </w:r>
    </w:p>
    <w:p>
      <w:pPr>
        <w:pStyle w:val="ListNumber"/>
      </w:pPr>
      <w:r>
        <w:rPr>
          <w:b/>
        </w:rPr>
        <w:t>One literature anchor used an MTS rather than MTT readout</w:t>
      </w:r>
      <w:r>
        <w:t>, and the single ethanolic anchor borrows its dispersion from the between-study variance of the others.</w:t>
      </w:r>
    </w:p>
    <w:p>
      <w:pPr>
        <w:pStyle w:val="ListNumber"/>
      </w:pPr>
      <w:r>
        <w:rPr>
          <w:b/>
        </w:rPr>
        <w:t>The QSAR model is not usable for absolute potency</w:t>
      </w:r>
      <w:r>
        <w:t xml:space="preserve"> (Section 4.1), and is not used for it.</w:t>
      </w:r>
    </w:p>
    <w:p>
      <w:pPr>
        <w:pStyle w:val="ListNumber"/>
      </w:pPr>
      <w:r>
        <w:rPr>
          <w:b/>
        </w:rPr>
        <w:t>The ChEMBL training pull is partial</w:t>
      </w:r>
      <w:r>
        <w:t xml:space="preserve"> — approximately 21,000 raw records before the connection dropped.</w:t>
      </w:r>
    </w:p>
    <w:p>
      <w:pPr>
        <w:pStyle w:val="ListNumber"/>
      </w:pPr>
      <w:r>
        <w:rPr>
          <w:b/>
        </w:rPr>
        <w:t>Docking scores are not evidence of cellular activity.</w:t>
      </w:r>
      <w:r>
        <w:t xml:space="preserve"> Binding affinity, pose quality and interaction fingerprints are hypothesis-generating only.</w:t>
      </w:r>
    </w:p>
    <w:p>
      <w:pPr>
        <w:pStyle w:val="ListNumber"/>
      </w:pPr>
      <w:r>
        <w:rPr>
          <w:b/>
        </w:rPr>
        <w:t>Simulation parameters are informed estimates</w:t>
      </w:r>
      <w:r>
        <w:t>, not measurements of the partner laboratory's actual plate behaviour. Their influence is bounded by the sensitivity analysis rather than assumed away.</w:t>
      </w:r>
    </w:p>
    <w:p>
      <w:pPr>
        <w:pStyle w:val="ListNumber"/>
      </w:pPr>
      <w:r>
        <w:rPr>
          <w:b/>
        </w:rPr>
        <w:t>In vitro cytotoxicity does not imply clinical efficacy</w:t>
      </w:r>
      <w:r>
        <w:t>, and nothing in this arm should be read as a therapeutic claim.</w:t>
      </w:r>
    </w:p>
    <w:p>
      <w:pPr>
        <w:pStyle w:val="Heading2"/>
      </w:pPr>
      <w:r/>
      <w:r>
        <w:t>12. Claims boundary</w:t>
      </w:r>
    </w:p>
    <w:p>
      <w:pPr>
        <w:spacing w:after="160"/>
      </w:pPr>
      <w:r>
        <w:rPr>
          <w:b/>
        </w:rPr>
        <w:t>This study can claim:</w:t>
      </w:r>
      <w:r>
        <w:t xml:space="preserve"> predicted binding of specific </w:t>
      </w:r>
      <w:r>
        <w:rPr>
          <w:i/>
        </w:rPr>
        <w:t>M. oleifera</w:t>
      </w:r>
      <w:r>
        <w:t xml:space="preserve"> constituents to A549-relevant molecular targets; a predicted ADMET and toxicity profile for those constituents; a predicted extract IC₅₀ with an explicit, provenance-traced uncertainty interval; a quantitatively justified assay design including dose range, replicate structure and required controls; and a prospectively sealed, falsifiable prediction of the experimental outcome.</w:t>
      </w:r>
    </w:p>
    <w:p>
      <w:pPr>
        <w:spacing w:after="160"/>
      </w:pPr>
      <w:r>
        <w:rPr>
          <w:b/>
        </w:rPr>
        <w:t>This study cannot claim:</w:t>
      </w:r>
      <w:r>
        <w:t xml:space="preserve"> that docking scores establish mechanism; that a predicted IC₅₀ substitutes for measurement; that constituent-level results describe the composition of the specific batch tested; or that in vitro cytotoxicity implies therapeutic value.</w:t>
      </w:r>
    </w:p>
    <w:p>
      <w:pPr>
        <w:pStyle w:val="Heading2"/>
      </w:pPr>
      <w:r/>
      <w:r>
        <w:t>13. Data and code availability</w:t>
      </w:r>
    </w:p>
    <w:p>
      <w:pPr>
        <w:spacing w:after="160"/>
      </w:pPr>
      <w:r>
        <w:t>All code, curated datasets, cached API responses, result tables, figures and the sealed prediction registry are held in the study repository. Every analysis is re-runnable from cached data without network access. Random seeds are fixed and the git commit hash is recorded with each sealed result.</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Component</w:t>
            </w:r>
          </w:p>
        </w:tc>
        <w:tc>
          <w:tcPr>
            <w:tcW w:type="dxa" w:w="4320"/>
          </w:tcPr>
          <w:p>
            <w:r>
              <w:rPr>
                <w:b/>
              </w:rPr>
            </w:r>
            <w:r>
              <w:rPr>
                <w:b/>
              </w:rPr>
              <w:t>Location</w:t>
            </w:r>
          </w:p>
        </w:tc>
      </w:tr>
      <w:tr>
        <w:tc>
          <w:tcPr>
            <w:tcW w:type="dxa" w:w="4320"/>
          </w:tcPr>
          <w:p>
            <w:r/>
            <w:r>
              <w:t>Ligand library preparation</w:t>
            </w:r>
          </w:p>
        </w:tc>
        <w:tc>
          <w:tcPr>
            <w:tcW w:type="dxa" w:w="4320"/>
          </w:tcPr>
          <w:p>
            <w:r/>
            <w:r>
              <w:rPr>
                <w:rFonts w:ascii="Consolas" w:hAnsi="Consolas"/>
                <w:sz w:val="19"/>
              </w:rPr>
              <w:t>src/s01_ligand_prep.py</w:t>
            </w:r>
          </w:p>
        </w:tc>
      </w:tr>
      <w:tr>
        <w:tc>
          <w:tcPr>
            <w:tcW w:type="dxa" w:w="4320"/>
          </w:tcPr>
          <w:p>
            <w:r/>
            <w:r>
              <w:t>Target panel verification</w:t>
            </w:r>
          </w:p>
        </w:tc>
        <w:tc>
          <w:tcPr>
            <w:tcW w:type="dxa" w:w="4320"/>
          </w:tcPr>
          <w:p>
            <w:r/>
            <w:r>
              <w:rPr>
                <w:rFonts w:ascii="Consolas" w:hAnsi="Consolas"/>
                <w:sz w:val="19"/>
              </w:rPr>
              <w:t>src/s02_target_prep.py</w:t>
            </w:r>
          </w:p>
        </w:tc>
      </w:tr>
      <w:tr>
        <w:tc>
          <w:tcPr>
            <w:tcW w:type="dxa" w:w="4320"/>
          </w:tcPr>
          <w:p>
            <w:r/>
            <w:r>
              <w:t>ChEMBL retrieval and curation</w:t>
            </w:r>
          </w:p>
        </w:tc>
        <w:tc>
          <w:tcPr>
            <w:tcW w:type="dxa" w:w="4320"/>
          </w:tcPr>
          <w:p>
            <w:r/>
            <w:r>
              <w:rPr>
                <w:rFonts w:ascii="Consolas" w:hAnsi="Consolas"/>
                <w:sz w:val="19"/>
              </w:rPr>
              <w:t>src/s05_chembl_fetch.py</w:t>
            </w:r>
          </w:p>
        </w:tc>
      </w:tr>
      <w:tr>
        <w:tc>
          <w:tcPr>
            <w:tcW w:type="dxa" w:w="4320"/>
          </w:tcPr>
          <w:p>
            <w:r/>
            <w:r>
              <w:t>QSAR training and Gates G2/G4</w:t>
            </w:r>
          </w:p>
        </w:tc>
        <w:tc>
          <w:tcPr>
            <w:tcW w:type="dxa" w:w="4320"/>
          </w:tcPr>
          <w:p>
            <w:r/>
            <w:r>
              <w:rPr>
                <w:rFonts w:ascii="Consolas" w:hAnsi="Consolas"/>
                <w:sz w:val="19"/>
              </w:rPr>
              <w:t>src/s06_qsar_train.py</w:t>
            </w:r>
          </w:p>
        </w:tc>
      </w:tr>
      <w:tr>
        <w:tc>
          <w:tcPr>
            <w:tcW w:type="dxa" w:w="4320"/>
          </w:tcPr>
          <w:p>
            <w:r/>
            <w:r>
              <w:t>QSAR reality check and calibration</w:t>
            </w:r>
          </w:p>
        </w:tc>
        <w:tc>
          <w:tcPr>
            <w:tcW w:type="dxa" w:w="4320"/>
          </w:tcPr>
          <w:p>
            <w:r/>
            <w:r>
              <w:rPr>
                <w:rFonts w:ascii="Consolas" w:hAnsi="Consolas"/>
                <w:sz w:val="19"/>
              </w:rPr>
              <w:t>src/s06b_qsar_reality_check.py</w:t>
            </w:r>
            <w:r>
              <w:t xml:space="preserve">, </w:t>
            </w:r>
            <w:r>
              <w:rPr>
                <w:rFonts w:ascii="Consolas" w:hAnsi="Consolas"/>
                <w:sz w:val="19"/>
              </w:rPr>
              <w:t>src/s06c_calibrate_potency.py</w:t>
            </w:r>
          </w:p>
        </w:tc>
      </w:tr>
      <w:tr>
        <w:tc>
          <w:tcPr>
            <w:tcW w:type="dxa" w:w="4320"/>
          </w:tcPr>
          <w:p>
            <w:r/>
            <w:r>
              <w:t>Mixture model (retained, conditional)</w:t>
            </w:r>
          </w:p>
        </w:tc>
        <w:tc>
          <w:tcPr>
            <w:tcW w:type="dxa" w:w="4320"/>
          </w:tcPr>
          <w:p>
            <w:r/>
            <w:r>
              <w:rPr>
                <w:rFonts w:ascii="Consolas" w:hAnsi="Consolas"/>
                <w:sz w:val="19"/>
              </w:rPr>
              <w:t>src/s07_mixture_model.py</w:t>
            </w:r>
          </w:p>
        </w:tc>
      </w:tr>
      <w:tr>
        <w:tc>
          <w:tcPr>
            <w:tcW w:type="dxa" w:w="4320"/>
          </w:tcPr>
          <w:p>
            <w:r/>
            <w:r>
              <w:t>Literature prior and dose-range advisory</w:t>
            </w:r>
          </w:p>
        </w:tc>
        <w:tc>
          <w:tcPr>
            <w:tcW w:type="dxa" w:w="4320"/>
          </w:tcPr>
          <w:p>
            <w:r/>
            <w:r>
              <w:rPr>
                <w:rFonts w:ascii="Consolas" w:hAnsi="Consolas"/>
                <w:sz w:val="19"/>
              </w:rPr>
              <w:t>src/s07b_literature_prior.py</w:t>
            </w:r>
          </w:p>
        </w:tc>
      </w:tr>
      <w:tr>
        <w:tc>
          <w:tcPr>
            <w:tcW w:type="dxa" w:w="4320"/>
          </w:tcPr>
          <w:p>
            <w:r/>
            <w:r>
              <w:t>Dose–response mathematics</w:t>
            </w:r>
          </w:p>
        </w:tc>
        <w:tc>
          <w:tcPr>
            <w:tcW w:type="dxa" w:w="4320"/>
          </w:tcPr>
          <w:p>
            <w:r/>
            <w:r>
              <w:rPr>
                <w:rFonts w:ascii="Consolas" w:hAnsi="Consolas"/>
                <w:sz w:val="19"/>
              </w:rPr>
              <w:t>src/mtt_model.py</w:t>
            </w:r>
          </w:p>
        </w:tc>
      </w:tr>
      <w:tr>
        <w:tc>
          <w:tcPr>
            <w:tcW w:type="dxa" w:w="4320"/>
          </w:tcPr>
          <w:p>
            <w:r/>
            <w:r>
              <w:t>Virtual 96-well plate simulator</w:t>
            </w:r>
          </w:p>
        </w:tc>
        <w:tc>
          <w:tcPr>
            <w:tcW w:type="dxa" w:w="4320"/>
          </w:tcPr>
          <w:p>
            <w:r/>
            <w:r>
              <w:rPr>
                <w:rFonts w:ascii="Consolas" w:hAnsi="Consolas"/>
                <w:sz w:val="19"/>
              </w:rPr>
              <w:t>src/virtual_plate.py</w:t>
            </w:r>
          </w:p>
        </w:tc>
      </w:tr>
      <w:tr>
        <w:tc>
          <w:tcPr>
            <w:tcW w:type="dxa" w:w="4320"/>
          </w:tcPr>
          <w:p>
            <w:r/>
            <w:r>
              <w:t>Monte Carlo experiments E1–E5</w:t>
            </w:r>
          </w:p>
        </w:tc>
        <w:tc>
          <w:tcPr>
            <w:tcW w:type="dxa" w:w="4320"/>
          </w:tcPr>
          <w:p>
            <w:r/>
            <w:r>
              <w:rPr>
                <w:rFonts w:ascii="Consolas" w:hAnsi="Consolas"/>
                <w:sz w:val="19"/>
              </w:rPr>
              <w:t>src/s08_monte_carlo.py</w:t>
            </w:r>
          </w:p>
        </w:tc>
      </w:tr>
      <w:tr>
        <w:tc>
          <w:tcPr>
            <w:tcW w:type="dxa" w:w="4320"/>
          </w:tcPr>
          <w:p>
            <w:r/>
            <w:r>
              <w:t>Statistics mirror and verification</w:t>
            </w:r>
          </w:p>
        </w:tc>
        <w:tc>
          <w:tcPr>
            <w:tcW w:type="dxa" w:w="4320"/>
          </w:tcPr>
          <w:p>
            <w:r/>
            <w:r>
              <w:rPr>
                <w:rFonts w:ascii="Consolas" w:hAnsi="Consolas"/>
                <w:sz w:val="19"/>
              </w:rPr>
              <w:t>src/stats_mirror.py</w:t>
            </w:r>
            <w:r>
              <w:t xml:space="preserve">, </w:t>
            </w:r>
            <w:r>
              <w:rPr>
                <w:rFonts w:ascii="Consolas" w:hAnsi="Consolas"/>
                <w:sz w:val="19"/>
              </w:rPr>
              <w:t>src/test_stats_mirror.py</w:t>
            </w:r>
          </w:p>
        </w:tc>
      </w:tr>
      <w:tr>
        <w:tc>
          <w:tcPr>
            <w:tcW w:type="dxa" w:w="4320"/>
          </w:tcPr>
          <w:p>
            <w:r/>
            <w:r>
              <w:t>jamovi verification package</w:t>
            </w:r>
          </w:p>
        </w:tc>
        <w:tc>
          <w:tcPr>
            <w:tcW w:type="dxa" w:w="4320"/>
          </w:tcPr>
          <w:p>
            <w:r/>
            <w:r>
              <w:rPr>
                <w:rFonts w:ascii="Consolas" w:hAnsi="Consolas"/>
                <w:sz w:val="19"/>
              </w:rPr>
              <w:t>src/s09_jamovi_export.py</w:t>
            </w:r>
          </w:p>
        </w:tc>
      </w:tr>
      <w:tr>
        <w:tc>
          <w:tcPr>
            <w:tcW w:type="dxa" w:w="4320"/>
          </w:tcPr>
          <w:p>
            <w:r/>
            <w:r>
              <w:t>Pre-registration and sealing</w:t>
            </w:r>
          </w:p>
        </w:tc>
        <w:tc>
          <w:tcPr>
            <w:tcW w:type="dxa" w:w="4320"/>
          </w:tcPr>
          <w:p>
            <w:r/>
            <w:r>
              <w:rPr>
                <w:rFonts w:ascii="Consolas" w:hAnsi="Consolas"/>
                <w:sz w:val="19"/>
              </w:rPr>
              <w:t>src/s10_preregister.py</w:t>
            </w:r>
          </w:p>
        </w:tc>
      </w:tr>
      <w:tr>
        <w:tc>
          <w:tcPr>
            <w:tcW w:type="dxa" w:w="4320"/>
          </w:tcPr>
          <w:p>
            <w:r/>
            <w:r>
              <w:t>Full design rationale</w:t>
            </w:r>
          </w:p>
        </w:tc>
        <w:tc>
          <w:tcPr>
            <w:tcW w:type="dxa" w:w="4320"/>
          </w:tcPr>
          <w:p>
            <w:r/>
            <w:r>
              <w:rPr>
                <w:rFonts w:ascii="Consolas" w:hAnsi="Consolas"/>
                <w:sz w:val="19"/>
              </w:rPr>
              <w:t>IN_SILICO_PLAN.md</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