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11" w:rsidRDefault="00CA7F11" w:rsidP="00CA7F11">
      <w:pPr>
        <w:spacing w:after="0"/>
        <w:rPr>
          <w:lang w:val="en-ID"/>
        </w:rPr>
      </w:pPr>
    </w:p>
    <w:p w:rsidR="00CA7F11" w:rsidRDefault="00CA7F11" w:rsidP="00CA7F11">
      <w:pPr>
        <w:spacing w:after="0"/>
        <w:rPr>
          <w:lang w:val="en-ID"/>
        </w:rPr>
      </w:pPr>
      <w:r>
        <w:rPr>
          <w:lang w:val="en-ID"/>
        </w:rPr>
        <w:t>Personal Sosial</w:t>
      </w:r>
    </w:p>
    <w:p w:rsidR="00317300" w:rsidRPr="00CD7697" w:rsidRDefault="00317300" w:rsidP="00CD7697">
      <w:pPr>
        <w:pStyle w:val="ListParagraph"/>
        <w:numPr>
          <w:ilvl w:val="3"/>
          <w:numId w:val="25"/>
        </w:numPr>
        <w:spacing w:after="0"/>
        <w:ind w:left="426"/>
        <w:rPr>
          <w:lang w:val="en-ID"/>
        </w:rPr>
      </w:pPr>
      <w:r w:rsidRPr="00CD7697">
        <w:rPr>
          <w:lang w:val="en-ID"/>
        </w:rPr>
        <w:t>Kemampuan personal sosial anak</w:t>
      </w:r>
      <w:r w:rsidR="00D73754" w:rsidRPr="00CD7697">
        <w:rPr>
          <w:lang w:val="en-ID"/>
        </w:rPr>
        <w:t xml:space="preserve"> dapat dioptimalkan dengan melakukan aktivitas</w:t>
      </w:r>
      <w:r w:rsidR="00E62408" w:rsidRPr="00CD7697">
        <w:rPr>
          <w:lang w:val="en-ID"/>
        </w:rPr>
        <w:t xml:space="preserve"> olahraga</w:t>
      </w:r>
      <w:r w:rsidR="00350288" w:rsidRPr="00CD7697">
        <w:rPr>
          <w:lang w:val="en-ID"/>
        </w:rPr>
        <w:fldChar w:fldCharType="begin" w:fldLock="1"/>
      </w:r>
      <w:r w:rsidR="0047779C">
        <w:rPr>
          <w:lang w:val="en-ID"/>
        </w:rPr>
        <w:instrText>ADDIN CSL_CITATION {"citationItems":[{"id":"ITEM-1","itemData":{"DOI":"10.1177/1356336X19882054","ISSN":"17412749","abstract":"This review provides an overview of the existing literature on school-aged children’s and youth’s (i.e. 6- to 18-year-olds) personal and social development within the context of physical education and sports. A total of 4359 non-duplicate articles were retrieved from six databases. After the title, abstract and full text screening, 88 articles met the inclusion criteria and were included for further analysis. Articles had to be published in a peer-reviewed journal between 1 January 2008 and 6 December 2017. The 88 studies used several study designs, methods and instruments to investigate a variety of concepts related to personal and social development. Concepts were grouped into the following 11 themes: work ethic; control and management; goal-setting; decision-making; problem-solving; responsibility; leadership; cooperation; meeting people and making friends; communication; and prosocial behaviour. The main findings for each of the 11 themes are reported, and limitations and implications are provided to guide researchers and practitioners in their future work.","author":[{"dropping-particle":"","family":"Opstoel","given":"Katrijn","non-dropping-particle":"","parse-names":false,"suffix":""},{"dropping-particle":"","family":"Chapelle","given":"Laurent","non-dropping-particle":"","parse-names":false,"suffix":""},{"dropping-particle":"","family":"Prins","given":"Frans J.","non-dropping-particle":"","parse-names":false,"suffix":""},{"dropping-particle":"","family":"Meester","given":"An","non-dropping-particle":"De","parse-names":false,"suffix":""},{"dropping-particle":"","family":"Haerens","given":"Leen","non-dropping-particle":"","parse-names":false,"suffix":""},{"dropping-particle":"","family":"Tartwijk","given":"Jan","non-dropping-particle":"van","parse-names":false,"suffix":""},{"dropping-particle":"","family":"Martelaer","given":"Kristine","non-dropping-particle":"De","parse-names":false,"suffix":""}],"container-title":"European Physical Education Review","id":"ITEM-1","issue":"4","issued":{"date-parts":[["2020"]]},"page":"797-813","title":"Personal and social development in physical education and sports: A review study","type":"article-journal","volume":"26"},"uris":["http://www.mendeley.com/documents/?uuid=e50bcd6a-450d-4703-8d3f-03250a4a2dfa"]}],"mendeley":{"formattedCitation":"(1)","plainTextFormattedCitation":"(1)","previouslyFormattedCitation":"(2)"},"properties":{"noteIndex":0},"schema":"https://github.com/citation-style-language/schema/raw/master/csl-citation.json"}</w:instrText>
      </w:r>
      <w:r w:rsidR="00350288" w:rsidRPr="00CD7697">
        <w:rPr>
          <w:lang w:val="en-ID"/>
        </w:rPr>
        <w:fldChar w:fldCharType="separate"/>
      </w:r>
      <w:r w:rsidR="0047779C" w:rsidRPr="0047779C">
        <w:rPr>
          <w:noProof/>
          <w:lang w:val="en-ID"/>
        </w:rPr>
        <w:t>(1)</w:t>
      </w:r>
      <w:r w:rsidR="00350288" w:rsidRPr="00CD7697">
        <w:rPr>
          <w:lang w:val="en-ID"/>
        </w:rPr>
        <w:fldChar w:fldCharType="end"/>
      </w:r>
      <w:r w:rsidR="00E62408" w:rsidRPr="00CD7697">
        <w:rPr>
          <w:lang w:val="en-ID"/>
        </w:rPr>
        <w:t>.</w:t>
      </w:r>
      <w:r w:rsidR="00B93262" w:rsidRPr="00CD7697">
        <w:rPr>
          <w:lang w:val="en-ID"/>
        </w:rPr>
        <w:t xml:space="preserve"> Panggilan belajar bagaimana memecahkan masalah da</w:t>
      </w:r>
      <w:bookmarkStart w:id="0" w:name="_GoBack"/>
      <w:bookmarkEnd w:id="0"/>
      <w:r w:rsidR="00B93262" w:rsidRPr="00CD7697">
        <w:rPr>
          <w:lang w:val="en-ID"/>
        </w:rPr>
        <w:t xml:space="preserve">n berkomunikasi serta bekerja sebagai </w:t>
      </w:r>
      <w:proofErr w:type="gramStart"/>
      <w:r w:rsidR="00B93262" w:rsidRPr="00CD7697">
        <w:rPr>
          <w:lang w:val="en-ID"/>
        </w:rPr>
        <w:t>tim</w:t>
      </w:r>
      <w:proofErr w:type="gramEnd"/>
      <w:r w:rsidR="00B93262" w:rsidRPr="00CD7697">
        <w:rPr>
          <w:lang w:val="en-ID"/>
        </w:rPr>
        <w:t>, yang merupakan keterampilan yang juga mereka perlukan dalam kehidupan sehari-hari, misalnya, di rumah atau di tempat kerja.</w:t>
      </w:r>
      <w:r w:rsidR="00E62408" w:rsidRPr="00CD7697">
        <w:rPr>
          <w:lang w:val="en-ID"/>
        </w:rPr>
        <w:t xml:space="preserve"> </w:t>
      </w:r>
    </w:p>
    <w:p w:rsidR="00955FAA" w:rsidRDefault="00955FAA" w:rsidP="00CA7F11">
      <w:pPr>
        <w:spacing w:after="0"/>
        <w:rPr>
          <w:lang w:val="en-ID"/>
        </w:rPr>
      </w:pPr>
      <w:r>
        <w:rPr>
          <w:lang w:val="en-ID"/>
        </w:rPr>
        <w:tab/>
        <w:t>Olahraga yang dapat dilakukan oleh orang tua dan panggilan</w:t>
      </w:r>
      <w:r w:rsidR="006E36C5">
        <w:rPr>
          <w:lang w:val="en-ID"/>
        </w:rPr>
        <w:t xml:space="preserve"> adalah:</w:t>
      </w:r>
    </w:p>
    <w:p w:rsidR="006E36C5" w:rsidRDefault="006E36C5" w:rsidP="006E36C5">
      <w:pPr>
        <w:pStyle w:val="ListParagraph"/>
        <w:numPr>
          <w:ilvl w:val="0"/>
          <w:numId w:val="30"/>
        </w:numPr>
        <w:spacing w:after="0"/>
        <w:rPr>
          <w:lang w:val="en-ID"/>
        </w:rPr>
      </w:pPr>
      <w:r>
        <w:rPr>
          <w:lang w:val="en-ID"/>
        </w:rPr>
        <w:t>Berenang</w:t>
      </w:r>
    </w:p>
    <w:p w:rsidR="006E36C5" w:rsidRDefault="006E36C5" w:rsidP="006E36C5">
      <w:pPr>
        <w:pStyle w:val="ListParagraph"/>
        <w:numPr>
          <w:ilvl w:val="0"/>
          <w:numId w:val="30"/>
        </w:numPr>
        <w:spacing w:after="0"/>
        <w:rPr>
          <w:lang w:val="en-ID"/>
        </w:rPr>
      </w:pPr>
      <w:r>
        <w:rPr>
          <w:lang w:val="en-ID"/>
        </w:rPr>
        <w:t>Sepak bola</w:t>
      </w:r>
    </w:p>
    <w:p w:rsidR="006E36C5" w:rsidRDefault="006E36C5" w:rsidP="006E36C5">
      <w:pPr>
        <w:pStyle w:val="ListParagraph"/>
        <w:numPr>
          <w:ilvl w:val="0"/>
          <w:numId w:val="30"/>
        </w:numPr>
        <w:spacing w:after="0"/>
        <w:rPr>
          <w:lang w:val="en-ID"/>
        </w:rPr>
      </w:pPr>
      <w:r>
        <w:rPr>
          <w:lang w:val="en-ID"/>
        </w:rPr>
        <w:t>Memanjat</w:t>
      </w:r>
    </w:p>
    <w:p w:rsidR="006E36C5" w:rsidRDefault="006E36C5" w:rsidP="006E36C5">
      <w:pPr>
        <w:pStyle w:val="ListParagraph"/>
        <w:numPr>
          <w:ilvl w:val="0"/>
          <w:numId w:val="30"/>
        </w:numPr>
        <w:spacing w:after="0"/>
        <w:rPr>
          <w:lang w:val="en-ID"/>
        </w:rPr>
      </w:pPr>
      <w:r>
        <w:rPr>
          <w:lang w:val="en-ID"/>
        </w:rPr>
        <w:t>Bulutangkis</w:t>
      </w:r>
    </w:p>
    <w:p w:rsidR="00F40A59" w:rsidRDefault="00F40A59" w:rsidP="00F40A59">
      <w:pPr>
        <w:pStyle w:val="ListParagraph"/>
        <w:numPr>
          <w:ilvl w:val="0"/>
          <w:numId w:val="30"/>
        </w:numPr>
        <w:spacing w:after="0"/>
        <w:rPr>
          <w:lang w:val="en-ID"/>
        </w:rPr>
      </w:pPr>
      <w:r>
        <w:rPr>
          <w:lang w:val="en-ID"/>
        </w:rPr>
        <w:t>Lari</w:t>
      </w:r>
    </w:p>
    <w:p w:rsidR="00CD7697" w:rsidRDefault="003C0089" w:rsidP="00CD7697">
      <w:pPr>
        <w:pStyle w:val="ListParagraph"/>
        <w:numPr>
          <w:ilvl w:val="3"/>
          <w:numId w:val="25"/>
        </w:numPr>
        <w:spacing w:after="0"/>
        <w:ind w:left="426"/>
        <w:rPr>
          <w:lang w:val="en-ID"/>
        </w:rPr>
      </w:pPr>
      <w:r>
        <w:rPr>
          <w:lang w:val="en-ID"/>
        </w:rPr>
        <w:t>Menciptakan hubungan penuh kasih saying dan rasa aman dengan Panggilan</w:t>
      </w:r>
    </w:p>
    <w:p w:rsidR="003C0089" w:rsidRDefault="003C0089" w:rsidP="003C0089">
      <w:pPr>
        <w:pStyle w:val="ListParagraph"/>
        <w:spacing w:after="0"/>
        <w:ind w:left="426"/>
        <w:rPr>
          <w:lang w:val="en-ID"/>
        </w:rPr>
      </w:pPr>
      <w:r w:rsidRPr="003C0089">
        <w:rPr>
          <w:lang w:val="en-ID"/>
        </w:rPr>
        <w:t>Ketika orang tua menunjukkan diri mereka</w:t>
      </w:r>
      <w:r w:rsidR="00435478">
        <w:rPr>
          <w:lang w:val="en-ID"/>
        </w:rPr>
        <w:t xml:space="preserve"> bahwa mereka peduli, </w:t>
      </w:r>
      <w:r w:rsidRPr="003C0089">
        <w:rPr>
          <w:lang w:val="en-ID"/>
        </w:rPr>
        <w:t>dapat diandalkan</w:t>
      </w:r>
      <w:r w:rsidR="00435478">
        <w:rPr>
          <w:lang w:val="en-ID"/>
        </w:rPr>
        <w:t>, serta</w:t>
      </w:r>
      <w:r w:rsidRPr="003C0089">
        <w:rPr>
          <w:lang w:val="en-ID"/>
        </w:rPr>
        <w:t xml:space="preserve"> responsif terhadap kebutuhan </w:t>
      </w:r>
      <w:r w:rsidR="00435478">
        <w:rPr>
          <w:lang w:val="en-ID"/>
        </w:rPr>
        <w:t>panggilan, panggilan tumbuh dengan perasaan aman</w:t>
      </w:r>
      <w:r w:rsidR="001B556E">
        <w:rPr>
          <w:lang w:val="en-ID"/>
        </w:rPr>
        <w:t xml:space="preserve"> dan nyaman</w:t>
      </w:r>
      <w:r w:rsidR="00435478">
        <w:rPr>
          <w:lang w:val="en-ID"/>
        </w:rPr>
        <w:t xml:space="preserve"> setiap bersama orang tua. </w:t>
      </w:r>
      <w:r w:rsidR="00435478" w:rsidRPr="00435478">
        <w:rPr>
          <w:lang w:val="en-ID"/>
        </w:rPr>
        <w:t xml:space="preserve">Dan anak-anak yang </w:t>
      </w:r>
      <w:r w:rsidR="00497BBA">
        <w:rPr>
          <w:lang w:val="en-ID"/>
        </w:rPr>
        <w:t>merasa nyaman</w:t>
      </w:r>
      <w:r w:rsidR="00435478" w:rsidRPr="00435478">
        <w:rPr>
          <w:lang w:val="en-ID"/>
        </w:rPr>
        <w:t xml:space="preserve"> lebih cenderung menunjukkan </w:t>
      </w:r>
      <w:r w:rsidR="00497BBA">
        <w:rPr>
          <w:lang w:val="en-ID"/>
        </w:rPr>
        <w:t>kemampuan bersosialisasi yang baik</w:t>
      </w:r>
      <w:r w:rsidR="00435478" w:rsidRPr="00435478">
        <w:rPr>
          <w:lang w:val="en-ID"/>
        </w:rPr>
        <w:t xml:space="preserve">. Anak-anak prasekolah dengan </w:t>
      </w:r>
      <w:r w:rsidR="001B556E">
        <w:rPr>
          <w:lang w:val="en-ID"/>
        </w:rPr>
        <w:t>kondisi ini</w:t>
      </w:r>
      <w:r w:rsidR="00435478" w:rsidRPr="00435478">
        <w:rPr>
          <w:lang w:val="en-ID"/>
        </w:rPr>
        <w:t xml:space="preserve"> </w:t>
      </w:r>
      <w:r w:rsidR="001B556E">
        <w:rPr>
          <w:lang w:val="en-ID"/>
        </w:rPr>
        <w:t>cenderung dapat</w:t>
      </w:r>
      <w:r w:rsidR="00435478" w:rsidRPr="00435478">
        <w:rPr>
          <w:lang w:val="en-ID"/>
        </w:rPr>
        <w:t xml:space="preserve"> berbagi, </w:t>
      </w:r>
      <w:r w:rsidR="001B556E">
        <w:rPr>
          <w:lang w:val="en-ID"/>
        </w:rPr>
        <w:t xml:space="preserve">dan dapat ramah </w:t>
      </w:r>
      <w:r w:rsidR="00435478" w:rsidRPr="00435478">
        <w:rPr>
          <w:lang w:val="en-ID"/>
        </w:rPr>
        <w:t>terhadap i</w:t>
      </w:r>
      <w:r w:rsidR="00050A37">
        <w:rPr>
          <w:lang w:val="en-ID"/>
        </w:rPr>
        <w:t xml:space="preserve">ndividu yang </w:t>
      </w:r>
      <w:r w:rsidR="001B556E">
        <w:rPr>
          <w:lang w:val="en-ID"/>
        </w:rPr>
        <w:t xml:space="preserve">bahkan </w:t>
      </w:r>
      <w:r w:rsidR="00050A37">
        <w:rPr>
          <w:lang w:val="en-ID"/>
        </w:rPr>
        <w:t>tidak mereka sukai</w:t>
      </w:r>
      <w:r w:rsidR="00050A37">
        <w:rPr>
          <w:lang w:val="en-ID"/>
        </w:rPr>
        <w:fldChar w:fldCharType="begin" w:fldLock="1"/>
      </w:r>
      <w:r w:rsidR="0047779C">
        <w:rPr>
          <w:lang w:val="en-ID"/>
        </w:rPr>
        <w:instrText>ADDIN CSL_CITATION {"citationItems":[{"id":"ITEM-1","itemData":{"DOI":"10.1111/jcpp.12584","ISSN":"14697610","PMID":"27445203","abstract":"Background: School-based interventions (SBIs) are well-established and effective treatments for improving child mental health. Specific school-based topics include prevention (Tier I–III) and interventions (e.g. cognitive–behavioural programmes and daily report cards). Methods: We performed a systematic literature search in five commonly used online databases (ERIC, MEDLINE, PsycARTICLES, PsycINFO and PSYNDEX) for English-language articles published between 1993 and 2015. Additional sources included reference lists of relevant articles and book chapters. Results: We identified a number of successful behavioural or cognitive–behavioural programmes yielding moderate to strong effects for a range of emotional and behavioural problems. The implementation of these programmes and the collaboration of the involved settings (school and home) and persons are important factors for their effectiveness under real-life conditions. Conclusions: Effective SBIs are valuable tools for students with mental health problems if evidence-based cognitive–behavioural interventions are applied and rules of translational algorithms and implementation science are respected.","author":[{"dropping-particle":"","family":"Paulus","given":"Frank W.","non-dropping-particle":"","parse-names":false,"suffix":""},{"dropping-particle":"","family":"Ohmann","given":"Susanne","non-dropping-particle":"","parse-names":false,"suffix":""},{"dropping-particle":"","family":"Popow","given":"Christian","non-dropping-particle":"","parse-names":false,"suffix":""}],"container-title":"Journal of Child Psychology and Psychiatry and Allied Disciplines","id":"ITEM-1","issue":"12","issued":{"date-parts":[["2016"]]},"page":"1337-1359","title":"Practitioner Review: School-based interventions in child mental health","type":"article-journal","volume":"57"},"uris":["http://www.mendeley.com/documents/?uuid=1556f294-a7d5-4fe0-9bfb-db7e4e7998a9"]}],"mendeley":{"formattedCitation":"(2)","plainTextFormattedCitation":"(2)","previouslyFormattedCitation":"(3)"},"properties":{"noteIndex":0},"schema":"https://github.com/citation-style-language/schema/raw/master/csl-citation.json"}</w:instrText>
      </w:r>
      <w:r w:rsidR="00050A37">
        <w:rPr>
          <w:lang w:val="en-ID"/>
        </w:rPr>
        <w:fldChar w:fldCharType="separate"/>
      </w:r>
      <w:r w:rsidR="0047779C" w:rsidRPr="0047779C">
        <w:rPr>
          <w:noProof/>
          <w:lang w:val="en-ID"/>
        </w:rPr>
        <w:t>(2)</w:t>
      </w:r>
      <w:r w:rsidR="00050A37">
        <w:rPr>
          <w:lang w:val="en-ID"/>
        </w:rPr>
        <w:fldChar w:fldCharType="end"/>
      </w:r>
      <w:r w:rsidR="001B556E">
        <w:rPr>
          <w:lang w:val="en-ID"/>
        </w:rPr>
        <w:t>.</w:t>
      </w:r>
    </w:p>
    <w:p w:rsidR="00574AF5" w:rsidRPr="00574AF5" w:rsidRDefault="00574AF5" w:rsidP="00574AF5">
      <w:pPr>
        <w:pStyle w:val="ListParagraph"/>
        <w:spacing w:after="0"/>
        <w:ind w:left="426"/>
        <w:rPr>
          <w:lang w:val="en-ID"/>
        </w:rPr>
      </w:pPr>
      <w:r w:rsidRPr="00574AF5">
        <w:rPr>
          <w:lang w:val="en-ID"/>
        </w:rPr>
        <w:t>Mengapa keterikatan aman terhubung dengan kompetensi sosial?</w:t>
      </w:r>
    </w:p>
    <w:p w:rsidR="001B556E" w:rsidRDefault="00574AF5" w:rsidP="00574AF5">
      <w:pPr>
        <w:pStyle w:val="ListParagraph"/>
        <w:spacing w:after="0"/>
        <w:ind w:left="426"/>
        <w:rPr>
          <w:lang w:val="en-ID"/>
        </w:rPr>
      </w:pPr>
      <w:r w:rsidRPr="00574AF5">
        <w:rPr>
          <w:lang w:val="en-ID"/>
        </w:rPr>
        <w:t>Anak-anak cenderung tidak mengalami kecemasan. Mereka c</w:t>
      </w:r>
      <w:r>
        <w:rPr>
          <w:lang w:val="en-ID"/>
        </w:rPr>
        <w:t xml:space="preserve">enderung tidak merasa terancam. </w:t>
      </w:r>
      <w:r w:rsidRPr="00574AF5">
        <w:rPr>
          <w:lang w:val="en-ID"/>
        </w:rPr>
        <w:t xml:space="preserve">Jadi </w:t>
      </w:r>
      <w:r>
        <w:rPr>
          <w:lang w:val="en-ID"/>
        </w:rPr>
        <w:t>panggilan</w:t>
      </w:r>
      <w:r w:rsidRPr="00574AF5">
        <w:rPr>
          <w:lang w:val="en-ID"/>
        </w:rPr>
        <w:t xml:space="preserve"> mungkin </w:t>
      </w:r>
      <w:r>
        <w:rPr>
          <w:lang w:val="en-ID"/>
        </w:rPr>
        <w:t xml:space="preserve">dapat </w:t>
      </w:r>
      <w:r w:rsidRPr="00574AF5">
        <w:rPr>
          <w:lang w:val="en-ID"/>
        </w:rPr>
        <w:t xml:space="preserve">merasa lebih nyaman </w:t>
      </w:r>
      <w:r>
        <w:rPr>
          <w:lang w:val="en-ID"/>
        </w:rPr>
        <w:t>bersosialisasi</w:t>
      </w:r>
      <w:r w:rsidRPr="00574AF5">
        <w:rPr>
          <w:lang w:val="en-ID"/>
        </w:rPr>
        <w:t xml:space="preserve">, dan mereka lebih mampu untuk fokus </w:t>
      </w:r>
      <w:r>
        <w:rPr>
          <w:lang w:val="en-ID"/>
        </w:rPr>
        <w:t>mempelajari keterampilan sosial jika sebelumnya panggilan mendapat kasih saying dari orang tua</w:t>
      </w:r>
    </w:p>
    <w:p w:rsidR="00574AF5" w:rsidRDefault="00574AF5" w:rsidP="00574AF5">
      <w:pPr>
        <w:pStyle w:val="ListParagraph"/>
        <w:spacing w:after="0"/>
        <w:ind w:left="426"/>
        <w:rPr>
          <w:lang w:val="en-ID"/>
        </w:rPr>
      </w:pPr>
    </w:p>
    <w:p w:rsidR="00574AF5" w:rsidRDefault="00D31401" w:rsidP="00574AF5">
      <w:pPr>
        <w:pStyle w:val="ListParagraph"/>
        <w:numPr>
          <w:ilvl w:val="3"/>
          <w:numId w:val="25"/>
        </w:numPr>
        <w:spacing w:after="0"/>
        <w:ind w:left="426"/>
        <w:rPr>
          <w:lang w:val="en-ID"/>
        </w:rPr>
      </w:pPr>
      <w:r>
        <w:rPr>
          <w:lang w:val="en-ID"/>
        </w:rPr>
        <w:t>Tatap Mata Saya</w:t>
      </w:r>
    </w:p>
    <w:p w:rsidR="00D31401" w:rsidRDefault="00D31401" w:rsidP="00C33529">
      <w:pPr>
        <w:pStyle w:val="ListParagraph"/>
        <w:spacing w:after="0"/>
        <w:ind w:left="426"/>
        <w:rPr>
          <w:lang w:val="en-ID"/>
        </w:rPr>
      </w:pPr>
      <w:r w:rsidRPr="00D31401">
        <w:rPr>
          <w:lang w:val="en-ID"/>
        </w:rPr>
        <w:t xml:space="preserve">Banyak anak mengalami kesulitan mempertahankan kontak mata dalam percakapan. </w:t>
      </w:r>
      <w:r w:rsidR="00F138CA">
        <w:rPr>
          <w:lang w:val="en-ID"/>
        </w:rPr>
        <w:t xml:space="preserve">‘Tatap Mata Saya’ adalah permainan dimana anda dan panggilan harus menatap mata satu </w:t>
      </w:r>
      <w:proofErr w:type="gramStart"/>
      <w:r w:rsidR="00F138CA">
        <w:rPr>
          <w:lang w:val="en-ID"/>
        </w:rPr>
        <w:t>sama</w:t>
      </w:r>
      <w:proofErr w:type="gramEnd"/>
      <w:r w:rsidR="00F138CA">
        <w:rPr>
          <w:lang w:val="en-ID"/>
        </w:rPr>
        <w:t xml:space="preserve"> lain, dan jika salah satu mengalihkan pandangan/ berkedip, mereka kalah. Anda dan pangilan dapat menentukan terlebih dahulu hukuman jika kalah seperti bernyanyi atau. ‘Tatap Mata Saya’ </w:t>
      </w:r>
      <w:r w:rsidRPr="00D31401">
        <w:rPr>
          <w:lang w:val="en-ID"/>
        </w:rPr>
        <w:t xml:space="preserve">dapat membantu </w:t>
      </w:r>
      <w:r w:rsidR="00F138CA">
        <w:rPr>
          <w:lang w:val="en-ID"/>
        </w:rPr>
        <w:t>panggilan</w:t>
      </w:r>
      <w:r w:rsidRPr="00D31401">
        <w:rPr>
          <w:lang w:val="en-ID"/>
        </w:rPr>
        <w:t xml:space="preserve"> membuat dan menjaga kontak mata dengan </w:t>
      </w:r>
      <w:proofErr w:type="gramStart"/>
      <w:r w:rsidRPr="00D31401">
        <w:rPr>
          <w:lang w:val="en-ID"/>
        </w:rPr>
        <w:t>cara</w:t>
      </w:r>
      <w:proofErr w:type="gramEnd"/>
      <w:r w:rsidRPr="00D31401">
        <w:rPr>
          <w:lang w:val="en-ID"/>
        </w:rPr>
        <w:t xml:space="preserve"> yang </w:t>
      </w:r>
      <w:r w:rsidRPr="00D31401">
        <w:rPr>
          <w:lang w:val="en-ID"/>
        </w:rPr>
        <w:lastRenderedPageBreak/>
        <w:t>memungkinkan mereka untuk fokus</w:t>
      </w:r>
      <w:r w:rsidR="00C33529">
        <w:rPr>
          <w:lang w:val="en-ID"/>
        </w:rPr>
        <w:t xml:space="preserve">. </w:t>
      </w:r>
      <w:r w:rsidRPr="00C33529">
        <w:rPr>
          <w:lang w:val="en-ID"/>
        </w:rPr>
        <w:t xml:space="preserve">Jika </w:t>
      </w:r>
      <w:r w:rsidR="00C33529" w:rsidRPr="00C33529">
        <w:rPr>
          <w:lang w:val="en-ID"/>
        </w:rPr>
        <w:t>panggilan</w:t>
      </w:r>
      <w:r w:rsidRPr="00C33529">
        <w:rPr>
          <w:lang w:val="en-ID"/>
        </w:rPr>
        <w:t xml:space="preserve"> masih merasa tidak nyaman, Anda bisa mulai dari yang lebih kecil. Tempatkan stiker di dahi Anda agar mereka bisa melihatnya dan kemudian membangun percakapan.</w:t>
      </w:r>
    </w:p>
    <w:p w:rsidR="00C33529" w:rsidRPr="00C33529" w:rsidRDefault="00C33529" w:rsidP="00C33529">
      <w:pPr>
        <w:pStyle w:val="ListParagraph"/>
        <w:spacing w:after="0"/>
        <w:ind w:left="426"/>
        <w:rPr>
          <w:lang w:val="en-ID"/>
        </w:rPr>
      </w:pPr>
    </w:p>
    <w:p w:rsidR="00F40A59" w:rsidRDefault="00C33529" w:rsidP="00C33529">
      <w:pPr>
        <w:pStyle w:val="ListParagraph"/>
        <w:numPr>
          <w:ilvl w:val="3"/>
          <w:numId w:val="25"/>
        </w:numPr>
        <w:spacing w:after="0"/>
        <w:ind w:left="426"/>
        <w:rPr>
          <w:lang w:val="en-ID"/>
        </w:rPr>
      </w:pPr>
      <w:r>
        <w:rPr>
          <w:lang w:val="en-ID"/>
        </w:rPr>
        <w:t>Kartu Emosi</w:t>
      </w:r>
    </w:p>
    <w:p w:rsidR="00C33529" w:rsidRDefault="00895453" w:rsidP="00D739BF">
      <w:pPr>
        <w:pStyle w:val="ListParagraph"/>
        <w:spacing w:after="0"/>
        <w:ind w:left="426"/>
        <w:rPr>
          <w:lang w:val="en-ID"/>
        </w:rPr>
      </w:pPr>
      <w:r>
        <w:rPr>
          <w:lang w:val="en-ID"/>
        </w:rPr>
        <w:t xml:space="preserve">Yang anda perlukan adalah potongan kardus atau kertas dengan emotikon wajah tersenyum, sedih, marah, tertawa, dan sebagainya. Setelah itu masukkan </w:t>
      </w:r>
      <w:r w:rsidR="00FE0AD0">
        <w:rPr>
          <w:lang w:val="en-ID"/>
        </w:rPr>
        <w:t xml:space="preserve">kartu ke dalam kotak dan panggilan harus memilih salah satu kartu dengan mata tertutup. Panggilan harus dapat memperagakan kartu emosi yang dia dapat. </w:t>
      </w:r>
      <w:r w:rsidR="00FE0AD0" w:rsidRPr="00FE0AD0">
        <w:rPr>
          <w:lang w:val="en-ID"/>
        </w:rPr>
        <w:t xml:space="preserve">Saat Anda memainkan permainan ini dengan </w:t>
      </w:r>
      <w:r w:rsidR="00D739BF">
        <w:rPr>
          <w:lang w:val="en-ID"/>
        </w:rPr>
        <w:t>panggilan</w:t>
      </w:r>
      <w:r w:rsidR="00FE0AD0" w:rsidRPr="00FE0AD0">
        <w:rPr>
          <w:lang w:val="en-ID"/>
        </w:rPr>
        <w:t xml:space="preserve">, Anda sedang mengajarkan keterampilan sosial dengan ekspresi. Meniru ekspresi memungkinkan </w:t>
      </w:r>
      <w:r w:rsidR="00D739BF">
        <w:rPr>
          <w:lang w:val="en-ID"/>
        </w:rPr>
        <w:t>panggilan</w:t>
      </w:r>
      <w:r w:rsidR="00FE0AD0" w:rsidRPr="00FE0AD0">
        <w:rPr>
          <w:lang w:val="en-ID"/>
        </w:rPr>
        <w:t xml:space="preserve"> untuk memahami </w:t>
      </w:r>
      <w:proofErr w:type="gramStart"/>
      <w:r w:rsidR="00FE0AD0" w:rsidRPr="00FE0AD0">
        <w:rPr>
          <w:lang w:val="en-ID"/>
        </w:rPr>
        <w:t>apa</w:t>
      </w:r>
      <w:proofErr w:type="gramEnd"/>
      <w:r w:rsidR="00FE0AD0" w:rsidRPr="00FE0AD0">
        <w:rPr>
          <w:lang w:val="en-ID"/>
        </w:rPr>
        <w:t xml:space="preserve"> arti ekspresi tertentu dan mengenalinya ketika orang lain mem</w:t>
      </w:r>
      <w:r w:rsidR="00D739BF">
        <w:rPr>
          <w:lang w:val="en-ID"/>
        </w:rPr>
        <w:t xml:space="preserve">buatnya dalam percakapan nyata. </w:t>
      </w:r>
      <w:r w:rsidR="00FE0AD0" w:rsidRPr="00D739BF">
        <w:rPr>
          <w:lang w:val="en-ID"/>
        </w:rPr>
        <w:t>Ketika anak-anak dengan tantangan sosial belajar membaca ekspresi wajah, mereka menjadi lebih nyaman dalam situasi yang melibatkan mereka.</w:t>
      </w:r>
    </w:p>
    <w:p w:rsidR="00D739BF" w:rsidRDefault="00D739BF" w:rsidP="00D739BF">
      <w:pPr>
        <w:pStyle w:val="ListParagraph"/>
        <w:spacing w:after="0"/>
        <w:ind w:left="426"/>
        <w:rPr>
          <w:lang w:val="en-ID"/>
        </w:rPr>
      </w:pPr>
    </w:p>
    <w:p w:rsidR="00D739BF" w:rsidRDefault="000D7AA1" w:rsidP="00D739BF">
      <w:pPr>
        <w:pStyle w:val="ListParagraph"/>
        <w:numPr>
          <w:ilvl w:val="3"/>
          <w:numId w:val="25"/>
        </w:numPr>
        <w:spacing w:after="0"/>
        <w:ind w:left="426"/>
        <w:rPr>
          <w:lang w:val="en-ID"/>
        </w:rPr>
      </w:pPr>
      <w:r>
        <w:rPr>
          <w:lang w:val="en-ID"/>
        </w:rPr>
        <w:t>Cerita Bersambung</w:t>
      </w:r>
    </w:p>
    <w:p w:rsidR="007B201D" w:rsidRDefault="000D7AA1" w:rsidP="007B201D">
      <w:pPr>
        <w:pStyle w:val="ListParagraph"/>
        <w:spacing w:after="0"/>
        <w:ind w:left="426"/>
        <w:rPr>
          <w:lang w:val="en-ID"/>
        </w:rPr>
      </w:pPr>
      <w:r>
        <w:rPr>
          <w:lang w:val="en-ID"/>
        </w:rPr>
        <w:t>Anda dan panggilan dapat membuat satu cerita utuh dengan menggunakan ‘Cerita Bersambung’. Sebagai contoh panggilan dapat memulai dengan “Kancil sedang minum air di danau”, anda harus membuat lanjutan kalimat dari panggilan dan dilanjutkan kembali oleh panggilan atau teman lain</w:t>
      </w:r>
      <w:r w:rsidR="007B201D">
        <w:rPr>
          <w:lang w:val="en-ID"/>
        </w:rPr>
        <w:t xml:space="preserve">. </w:t>
      </w:r>
    </w:p>
    <w:p w:rsidR="000D7AA1" w:rsidRDefault="007B201D" w:rsidP="007B201D">
      <w:pPr>
        <w:pStyle w:val="ListParagraph"/>
        <w:spacing w:after="0"/>
        <w:ind w:left="426"/>
        <w:rPr>
          <w:lang w:val="en-ID"/>
        </w:rPr>
      </w:pPr>
      <w:r w:rsidRPr="007B201D">
        <w:rPr>
          <w:lang w:val="en-ID"/>
        </w:rPr>
        <w:t>Dengan cerita improvisasi, Anda menambahkan tantangan lain yang mengharuskan mereka untuk berkolaborasi dan membuat narasi tanpa</w:t>
      </w:r>
      <w:r>
        <w:rPr>
          <w:lang w:val="en-ID"/>
        </w:rPr>
        <w:t xml:space="preserve"> memikirkannya terlebih dahulu. </w:t>
      </w:r>
      <w:r w:rsidRPr="007B201D">
        <w:rPr>
          <w:lang w:val="en-ID"/>
        </w:rPr>
        <w:t xml:space="preserve">Anda dapat menggunakan aktivitas ini sebagai permainan multipemain di mana </w:t>
      </w:r>
      <w:r>
        <w:rPr>
          <w:lang w:val="en-ID"/>
        </w:rPr>
        <w:t xml:space="preserve">panggilan </w:t>
      </w:r>
      <w:r w:rsidRPr="007B201D">
        <w:rPr>
          <w:lang w:val="en-ID"/>
        </w:rPr>
        <w:t>bergiliran menambahkan cerita da</w:t>
      </w:r>
      <w:r>
        <w:rPr>
          <w:lang w:val="en-ID"/>
        </w:rPr>
        <w:t xml:space="preserve">n membangun ide satu </w:t>
      </w:r>
      <w:proofErr w:type="gramStart"/>
      <w:r>
        <w:rPr>
          <w:lang w:val="en-ID"/>
        </w:rPr>
        <w:t>sama</w:t>
      </w:r>
      <w:proofErr w:type="gramEnd"/>
      <w:r>
        <w:rPr>
          <w:lang w:val="en-ID"/>
        </w:rPr>
        <w:t xml:space="preserve"> lain,</w:t>
      </w:r>
    </w:p>
    <w:p w:rsidR="007B201D" w:rsidRDefault="007B201D" w:rsidP="007B201D">
      <w:pPr>
        <w:pStyle w:val="ListParagraph"/>
        <w:spacing w:after="0"/>
        <w:ind w:left="426"/>
        <w:rPr>
          <w:lang w:val="en-ID"/>
        </w:rPr>
      </w:pPr>
    </w:p>
    <w:p w:rsidR="007D171E" w:rsidRDefault="007D171E" w:rsidP="00CA7F11">
      <w:pPr>
        <w:spacing w:after="0"/>
        <w:rPr>
          <w:lang w:val="en-ID"/>
        </w:rPr>
      </w:pPr>
    </w:p>
    <w:p w:rsidR="007D171E" w:rsidRDefault="007D171E" w:rsidP="00CA7F11">
      <w:pPr>
        <w:spacing w:after="0"/>
        <w:rPr>
          <w:lang w:val="en-ID"/>
        </w:rPr>
      </w:pPr>
    </w:p>
    <w:p w:rsidR="0047779C" w:rsidRPr="0047779C" w:rsidRDefault="007D171E" w:rsidP="0047779C">
      <w:pPr>
        <w:widowControl w:val="0"/>
        <w:autoSpaceDE w:val="0"/>
        <w:autoSpaceDN w:val="0"/>
        <w:adjustRightInd w:val="0"/>
        <w:spacing w:after="0"/>
        <w:ind w:left="640" w:hanging="640"/>
        <w:rPr>
          <w:rFonts w:cs="Times New Roman"/>
          <w:noProof/>
          <w:szCs w:val="24"/>
        </w:rPr>
      </w:pPr>
      <w:r>
        <w:rPr>
          <w:lang w:val="en-ID"/>
        </w:rPr>
        <w:fldChar w:fldCharType="begin" w:fldLock="1"/>
      </w:r>
      <w:r>
        <w:rPr>
          <w:lang w:val="en-ID"/>
        </w:rPr>
        <w:instrText xml:space="preserve">ADDIN Mendeley Bibliography CSL_BIBLIOGRAPHY </w:instrText>
      </w:r>
      <w:r>
        <w:rPr>
          <w:lang w:val="en-ID"/>
        </w:rPr>
        <w:fldChar w:fldCharType="separate"/>
      </w:r>
      <w:r w:rsidR="0047779C" w:rsidRPr="0047779C">
        <w:rPr>
          <w:rFonts w:cs="Times New Roman"/>
          <w:noProof/>
          <w:szCs w:val="24"/>
        </w:rPr>
        <w:t xml:space="preserve">1. </w:t>
      </w:r>
      <w:r w:rsidR="0047779C" w:rsidRPr="0047779C">
        <w:rPr>
          <w:rFonts w:cs="Times New Roman"/>
          <w:noProof/>
          <w:szCs w:val="24"/>
        </w:rPr>
        <w:tab/>
        <w:t xml:space="preserve">Opstoel K, Chapelle L, Prins FJ, De Meester A, Haerens L, van Tartwijk J, et al. Personal and social development in physical education and sports: A review study. Eur Phys Educ Rev. 2020;26(4):797–813. </w:t>
      </w:r>
    </w:p>
    <w:p w:rsidR="0047779C" w:rsidRPr="0047779C" w:rsidRDefault="0047779C" w:rsidP="0047779C">
      <w:pPr>
        <w:widowControl w:val="0"/>
        <w:autoSpaceDE w:val="0"/>
        <w:autoSpaceDN w:val="0"/>
        <w:adjustRightInd w:val="0"/>
        <w:spacing w:after="0"/>
        <w:ind w:left="640" w:hanging="640"/>
        <w:rPr>
          <w:rFonts w:cs="Times New Roman"/>
          <w:noProof/>
        </w:rPr>
      </w:pPr>
      <w:r w:rsidRPr="0047779C">
        <w:rPr>
          <w:rFonts w:cs="Times New Roman"/>
          <w:noProof/>
          <w:szCs w:val="24"/>
        </w:rPr>
        <w:t xml:space="preserve">2. </w:t>
      </w:r>
      <w:r w:rsidRPr="0047779C">
        <w:rPr>
          <w:rFonts w:cs="Times New Roman"/>
          <w:noProof/>
          <w:szCs w:val="24"/>
        </w:rPr>
        <w:tab/>
        <w:t xml:space="preserve">Paulus FW, Ohmann S, Popow C. Practitioner Review: School-based interventions in child mental health. J Child Psychol Psychiatry Allied Discip. 2016;57(12):1337–59. </w:t>
      </w:r>
    </w:p>
    <w:p w:rsidR="007D171E" w:rsidRPr="00CA7F11" w:rsidRDefault="007D171E" w:rsidP="00CA7F11">
      <w:pPr>
        <w:spacing w:after="0"/>
        <w:rPr>
          <w:lang w:val="en-ID"/>
        </w:rPr>
      </w:pPr>
      <w:r>
        <w:rPr>
          <w:lang w:val="en-ID"/>
        </w:rPr>
        <w:fldChar w:fldCharType="end"/>
      </w:r>
    </w:p>
    <w:p w:rsidR="00CA7F11" w:rsidRPr="00CA7F11" w:rsidRDefault="00CA7F11" w:rsidP="00CA7F11">
      <w:pPr>
        <w:spacing w:after="0"/>
        <w:rPr>
          <w:lang w:val="en-ID"/>
        </w:rPr>
      </w:pPr>
    </w:p>
    <w:p w:rsidR="00943BA5" w:rsidRPr="00943BA5" w:rsidRDefault="00943BA5" w:rsidP="00943BA5">
      <w:pPr>
        <w:spacing w:after="0"/>
        <w:rPr>
          <w:lang w:val="en-ID"/>
        </w:rPr>
      </w:pPr>
    </w:p>
    <w:sectPr w:rsidR="00943BA5" w:rsidRPr="00943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379"/>
    <w:multiLevelType w:val="hybridMultilevel"/>
    <w:tmpl w:val="092C47CC"/>
    <w:lvl w:ilvl="0" w:tplc="2CAE698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71909"/>
    <w:multiLevelType w:val="hybridMultilevel"/>
    <w:tmpl w:val="7EA87F8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3DDEFF14">
      <w:start w:val="1"/>
      <w:numFmt w:val="decimal"/>
      <w:lvlText w:val="%3)"/>
      <w:lvlJc w:val="left"/>
      <w:pPr>
        <w:ind w:left="2880" w:hanging="360"/>
      </w:pPr>
      <w:rPr>
        <w:rFonts w:hint="default"/>
      </w:rPr>
    </w:lvl>
    <w:lvl w:ilvl="3" w:tplc="8666663C">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87982"/>
    <w:multiLevelType w:val="hybridMultilevel"/>
    <w:tmpl w:val="759E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38E3"/>
    <w:multiLevelType w:val="hybridMultilevel"/>
    <w:tmpl w:val="0048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77D86"/>
    <w:multiLevelType w:val="hybridMultilevel"/>
    <w:tmpl w:val="7D36E06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4C718F"/>
    <w:multiLevelType w:val="hybridMultilevel"/>
    <w:tmpl w:val="AE5C71C6"/>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27028"/>
    <w:multiLevelType w:val="hybridMultilevel"/>
    <w:tmpl w:val="7DA22DE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95BEC"/>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33811"/>
    <w:multiLevelType w:val="hybridMultilevel"/>
    <w:tmpl w:val="1E4EF1AC"/>
    <w:lvl w:ilvl="0" w:tplc="0DF4B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106CD7"/>
    <w:multiLevelType w:val="hybridMultilevel"/>
    <w:tmpl w:val="647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147F8"/>
    <w:multiLevelType w:val="hybridMultilevel"/>
    <w:tmpl w:val="DF4296A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FF7608"/>
    <w:multiLevelType w:val="hybridMultilevel"/>
    <w:tmpl w:val="A0D69D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D4A073D"/>
    <w:multiLevelType w:val="hybridMultilevel"/>
    <w:tmpl w:val="8FDC51B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172A55"/>
    <w:multiLevelType w:val="hybridMultilevel"/>
    <w:tmpl w:val="6A501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9D2EE5"/>
    <w:multiLevelType w:val="hybridMultilevel"/>
    <w:tmpl w:val="9134E9D8"/>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D737DF"/>
    <w:multiLevelType w:val="hybridMultilevel"/>
    <w:tmpl w:val="4E32488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1A0EE5"/>
    <w:multiLevelType w:val="hybridMultilevel"/>
    <w:tmpl w:val="BE66CAF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9F4806"/>
    <w:multiLevelType w:val="hybridMultilevel"/>
    <w:tmpl w:val="8AE27F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9F3F9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C61A61"/>
    <w:multiLevelType w:val="hybridMultilevel"/>
    <w:tmpl w:val="B7861E4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54458D"/>
    <w:multiLevelType w:val="hybridMultilevel"/>
    <w:tmpl w:val="66181916"/>
    <w:lvl w:ilvl="0" w:tplc="702011BA">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1A96825"/>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16FF9"/>
    <w:multiLevelType w:val="hybridMultilevel"/>
    <w:tmpl w:val="EA0A4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F9352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6840E4"/>
    <w:multiLevelType w:val="hybridMultilevel"/>
    <w:tmpl w:val="F874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6D3DC2"/>
    <w:multiLevelType w:val="hybridMultilevel"/>
    <w:tmpl w:val="92344E6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716B83"/>
    <w:multiLevelType w:val="hybridMultilevel"/>
    <w:tmpl w:val="2DDCAFB6"/>
    <w:lvl w:ilvl="0" w:tplc="41E44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A3630C"/>
    <w:multiLevelType w:val="hybridMultilevel"/>
    <w:tmpl w:val="E9028F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DD679B"/>
    <w:multiLevelType w:val="hybridMultilevel"/>
    <w:tmpl w:val="E2B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F141D"/>
    <w:multiLevelType w:val="hybridMultilevel"/>
    <w:tmpl w:val="D3F053BC"/>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2116BA"/>
    <w:multiLevelType w:val="hybridMultilevel"/>
    <w:tmpl w:val="0E04FD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734495E"/>
    <w:multiLevelType w:val="hybridMultilevel"/>
    <w:tmpl w:val="2924BA3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1"/>
  </w:num>
  <w:num w:numId="3">
    <w:abstractNumId w:val="18"/>
  </w:num>
  <w:num w:numId="4">
    <w:abstractNumId w:val="20"/>
  </w:num>
  <w:num w:numId="5">
    <w:abstractNumId w:val="23"/>
  </w:num>
  <w:num w:numId="6">
    <w:abstractNumId w:val="26"/>
  </w:num>
  <w:num w:numId="7">
    <w:abstractNumId w:val="8"/>
  </w:num>
  <w:num w:numId="8">
    <w:abstractNumId w:val="22"/>
  </w:num>
  <w:num w:numId="9">
    <w:abstractNumId w:val="27"/>
  </w:num>
  <w:num w:numId="10">
    <w:abstractNumId w:val="9"/>
  </w:num>
  <w:num w:numId="11">
    <w:abstractNumId w:val="28"/>
  </w:num>
  <w:num w:numId="12">
    <w:abstractNumId w:val="2"/>
  </w:num>
  <w:num w:numId="13">
    <w:abstractNumId w:val="14"/>
  </w:num>
  <w:num w:numId="14">
    <w:abstractNumId w:val="16"/>
  </w:num>
  <w:num w:numId="15">
    <w:abstractNumId w:val="29"/>
  </w:num>
  <w:num w:numId="16">
    <w:abstractNumId w:val="31"/>
  </w:num>
  <w:num w:numId="17">
    <w:abstractNumId w:val="5"/>
  </w:num>
  <w:num w:numId="18">
    <w:abstractNumId w:val="25"/>
  </w:num>
  <w:num w:numId="19">
    <w:abstractNumId w:val="12"/>
  </w:num>
  <w:num w:numId="20">
    <w:abstractNumId w:val="19"/>
  </w:num>
  <w:num w:numId="21">
    <w:abstractNumId w:val="15"/>
  </w:num>
  <w:num w:numId="22">
    <w:abstractNumId w:val="10"/>
  </w:num>
  <w:num w:numId="23">
    <w:abstractNumId w:val="6"/>
  </w:num>
  <w:num w:numId="24">
    <w:abstractNumId w:val="0"/>
  </w:num>
  <w:num w:numId="25">
    <w:abstractNumId w:val="1"/>
  </w:num>
  <w:num w:numId="26">
    <w:abstractNumId w:val="4"/>
  </w:num>
  <w:num w:numId="27">
    <w:abstractNumId w:val="30"/>
  </w:num>
  <w:num w:numId="28">
    <w:abstractNumId w:val="11"/>
  </w:num>
  <w:num w:numId="29">
    <w:abstractNumId w:val="24"/>
  </w:num>
  <w:num w:numId="30">
    <w:abstractNumId w:val="17"/>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0D"/>
    <w:rsid w:val="00034A87"/>
    <w:rsid w:val="00036598"/>
    <w:rsid w:val="00050A37"/>
    <w:rsid w:val="000618CF"/>
    <w:rsid w:val="00070C87"/>
    <w:rsid w:val="00080C63"/>
    <w:rsid w:val="00081F6F"/>
    <w:rsid w:val="00081F71"/>
    <w:rsid w:val="00090C6E"/>
    <w:rsid w:val="000A0CAD"/>
    <w:rsid w:val="000A7A1A"/>
    <w:rsid w:val="000D326E"/>
    <w:rsid w:val="000D7AA1"/>
    <w:rsid w:val="000D7F5A"/>
    <w:rsid w:val="000F7EA2"/>
    <w:rsid w:val="00124A97"/>
    <w:rsid w:val="00125520"/>
    <w:rsid w:val="00142FFA"/>
    <w:rsid w:val="00152BF4"/>
    <w:rsid w:val="0015422D"/>
    <w:rsid w:val="0016139A"/>
    <w:rsid w:val="001A7CAA"/>
    <w:rsid w:val="001B556E"/>
    <w:rsid w:val="001F0227"/>
    <w:rsid w:val="001F6EF6"/>
    <w:rsid w:val="00203FBB"/>
    <w:rsid w:val="00206AFF"/>
    <w:rsid w:val="00216A17"/>
    <w:rsid w:val="0022177C"/>
    <w:rsid w:val="00224540"/>
    <w:rsid w:val="0023367A"/>
    <w:rsid w:val="00241650"/>
    <w:rsid w:val="00247A55"/>
    <w:rsid w:val="00253098"/>
    <w:rsid w:val="00261BE1"/>
    <w:rsid w:val="002874E1"/>
    <w:rsid w:val="00294789"/>
    <w:rsid w:val="002A4636"/>
    <w:rsid w:val="002A7E66"/>
    <w:rsid w:val="002C7731"/>
    <w:rsid w:val="002D1905"/>
    <w:rsid w:val="002D6FA6"/>
    <w:rsid w:val="003037B4"/>
    <w:rsid w:val="00317300"/>
    <w:rsid w:val="00337059"/>
    <w:rsid w:val="00337975"/>
    <w:rsid w:val="00350288"/>
    <w:rsid w:val="00351CE6"/>
    <w:rsid w:val="0036135F"/>
    <w:rsid w:val="00365E7A"/>
    <w:rsid w:val="00396A81"/>
    <w:rsid w:val="003B483E"/>
    <w:rsid w:val="003C0089"/>
    <w:rsid w:val="003D5F28"/>
    <w:rsid w:val="003E48A1"/>
    <w:rsid w:val="004350B4"/>
    <w:rsid w:val="00435478"/>
    <w:rsid w:val="004362F6"/>
    <w:rsid w:val="004552C4"/>
    <w:rsid w:val="0047779C"/>
    <w:rsid w:val="00482727"/>
    <w:rsid w:val="00487B12"/>
    <w:rsid w:val="00497BBA"/>
    <w:rsid w:val="004A50A6"/>
    <w:rsid w:val="004D3F9F"/>
    <w:rsid w:val="004F4B27"/>
    <w:rsid w:val="004F6E4F"/>
    <w:rsid w:val="00505BF0"/>
    <w:rsid w:val="00511B41"/>
    <w:rsid w:val="0053214E"/>
    <w:rsid w:val="0053693A"/>
    <w:rsid w:val="005425F2"/>
    <w:rsid w:val="00561FFA"/>
    <w:rsid w:val="005657D5"/>
    <w:rsid w:val="0057208B"/>
    <w:rsid w:val="00574AF5"/>
    <w:rsid w:val="005B5C5C"/>
    <w:rsid w:val="005C1A73"/>
    <w:rsid w:val="005C1D25"/>
    <w:rsid w:val="005C3B94"/>
    <w:rsid w:val="005E748B"/>
    <w:rsid w:val="0061484D"/>
    <w:rsid w:val="00622A2F"/>
    <w:rsid w:val="006570AE"/>
    <w:rsid w:val="00672E05"/>
    <w:rsid w:val="00677DE3"/>
    <w:rsid w:val="00684122"/>
    <w:rsid w:val="00685B01"/>
    <w:rsid w:val="006B22D4"/>
    <w:rsid w:val="006B5B7B"/>
    <w:rsid w:val="006C2220"/>
    <w:rsid w:val="006E36C5"/>
    <w:rsid w:val="006E4321"/>
    <w:rsid w:val="006E4604"/>
    <w:rsid w:val="0070267D"/>
    <w:rsid w:val="007116E0"/>
    <w:rsid w:val="00712C45"/>
    <w:rsid w:val="00724559"/>
    <w:rsid w:val="00742C50"/>
    <w:rsid w:val="00750E96"/>
    <w:rsid w:val="00777510"/>
    <w:rsid w:val="00785148"/>
    <w:rsid w:val="00793278"/>
    <w:rsid w:val="007A1675"/>
    <w:rsid w:val="007A23B8"/>
    <w:rsid w:val="007A6C40"/>
    <w:rsid w:val="007B201D"/>
    <w:rsid w:val="007D171E"/>
    <w:rsid w:val="007E5FD0"/>
    <w:rsid w:val="007E7953"/>
    <w:rsid w:val="007F58E2"/>
    <w:rsid w:val="00806A49"/>
    <w:rsid w:val="00834A66"/>
    <w:rsid w:val="0084714A"/>
    <w:rsid w:val="00850E26"/>
    <w:rsid w:val="00851F55"/>
    <w:rsid w:val="0087094D"/>
    <w:rsid w:val="00893CB1"/>
    <w:rsid w:val="00895453"/>
    <w:rsid w:val="008A6548"/>
    <w:rsid w:val="008D3385"/>
    <w:rsid w:val="008E26DB"/>
    <w:rsid w:val="008F620C"/>
    <w:rsid w:val="00910213"/>
    <w:rsid w:val="00921A6F"/>
    <w:rsid w:val="00922CC0"/>
    <w:rsid w:val="00942B8B"/>
    <w:rsid w:val="00943BA5"/>
    <w:rsid w:val="00955FAA"/>
    <w:rsid w:val="00981060"/>
    <w:rsid w:val="0099541C"/>
    <w:rsid w:val="00996FE6"/>
    <w:rsid w:val="009B1454"/>
    <w:rsid w:val="009B1FAA"/>
    <w:rsid w:val="009B32CD"/>
    <w:rsid w:val="009D22C9"/>
    <w:rsid w:val="00A1039E"/>
    <w:rsid w:val="00A15ECB"/>
    <w:rsid w:val="00A17F10"/>
    <w:rsid w:val="00A34096"/>
    <w:rsid w:val="00A35E42"/>
    <w:rsid w:val="00A3626F"/>
    <w:rsid w:val="00A479F7"/>
    <w:rsid w:val="00A82407"/>
    <w:rsid w:val="00A96D16"/>
    <w:rsid w:val="00A97872"/>
    <w:rsid w:val="00AA4FF1"/>
    <w:rsid w:val="00AA6469"/>
    <w:rsid w:val="00AC63B4"/>
    <w:rsid w:val="00AE0CE1"/>
    <w:rsid w:val="00AE413C"/>
    <w:rsid w:val="00AF68B1"/>
    <w:rsid w:val="00B0161B"/>
    <w:rsid w:val="00B0226C"/>
    <w:rsid w:val="00B25EA0"/>
    <w:rsid w:val="00B40A12"/>
    <w:rsid w:val="00B43C6A"/>
    <w:rsid w:val="00B47D4D"/>
    <w:rsid w:val="00B51B33"/>
    <w:rsid w:val="00B83A15"/>
    <w:rsid w:val="00B84522"/>
    <w:rsid w:val="00B93262"/>
    <w:rsid w:val="00BA5D66"/>
    <w:rsid w:val="00BB4B8B"/>
    <w:rsid w:val="00BB531A"/>
    <w:rsid w:val="00BE1BC4"/>
    <w:rsid w:val="00C01FC3"/>
    <w:rsid w:val="00C141BB"/>
    <w:rsid w:val="00C31359"/>
    <w:rsid w:val="00C33529"/>
    <w:rsid w:val="00C75C60"/>
    <w:rsid w:val="00C77180"/>
    <w:rsid w:val="00C813BA"/>
    <w:rsid w:val="00CA7F11"/>
    <w:rsid w:val="00CB117B"/>
    <w:rsid w:val="00CC24A4"/>
    <w:rsid w:val="00CC2D0A"/>
    <w:rsid w:val="00CD7697"/>
    <w:rsid w:val="00CF39EF"/>
    <w:rsid w:val="00D03C25"/>
    <w:rsid w:val="00D202F2"/>
    <w:rsid w:val="00D31401"/>
    <w:rsid w:val="00D34671"/>
    <w:rsid w:val="00D44548"/>
    <w:rsid w:val="00D71B86"/>
    <w:rsid w:val="00D73754"/>
    <w:rsid w:val="00D739BF"/>
    <w:rsid w:val="00D74098"/>
    <w:rsid w:val="00D76101"/>
    <w:rsid w:val="00DB152D"/>
    <w:rsid w:val="00DB59F3"/>
    <w:rsid w:val="00DB642E"/>
    <w:rsid w:val="00DD7035"/>
    <w:rsid w:val="00DE5472"/>
    <w:rsid w:val="00DE56E0"/>
    <w:rsid w:val="00E110A3"/>
    <w:rsid w:val="00E15009"/>
    <w:rsid w:val="00E17799"/>
    <w:rsid w:val="00E26B92"/>
    <w:rsid w:val="00E3284E"/>
    <w:rsid w:val="00E60196"/>
    <w:rsid w:val="00E62408"/>
    <w:rsid w:val="00E806E5"/>
    <w:rsid w:val="00E81BF1"/>
    <w:rsid w:val="00E87A56"/>
    <w:rsid w:val="00E92416"/>
    <w:rsid w:val="00E97199"/>
    <w:rsid w:val="00EA2D67"/>
    <w:rsid w:val="00ED41EE"/>
    <w:rsid w:val="00ED5730"/>
    <w:rsid w:val="00F0129B"/>
    <w:rsid w:val="00F02D6F"/>
    <w:rsid w:val="00F033E8"/>
    <w:rsid w:val="00F138CA"/>
    <w:rsid w:val="00F21FD4"/>
    <w:rsid w:val="00F22B88"/>
    <w:rsid w:val="00F30591"/>
    <w:rsid w:val="00F32127"/>
    <w:rsid w:val="00F40A59"/>
    <w:rsid w:val="00F46E99"/>
    <w:rsid w:val="00F51B67"/>
    <w:rsid w:val="00F5619E"/>
    <w:rsid w:val="00F70C95"/>
    <w:rsid w:val="00F713B6"/>
    <w:rsid w:val="00F97F63"/>
    <w:rsid w:val="00FB3F0D"/>
    <w:rsid w:val="00FC5DB7"/>
    <w:rsid w:val="00FE0AD0"/>
    <w:rsid w:val="00FF1B37"/>
    <w:rsid w:val="00FF50C3"/>
    <w:rsid w:val="00FF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2572E-4C9B-4250-9461-2D13DC10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3B6"/>
    <w:pPr>
      <w:spacing w:line="360" w:lineRule="auto"/>
      <w:jc w:val="both"/>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725FC3-52CB-454F-9B0B-3325AC8C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Fajariana</dc:creator>
  <cp:keywords/>
  <dc:description/>
  <cp:lastModifiedBy>Fajariana</cp:lastModifiedBy>
  <cp:revision>5</cp:revision>
  <dcterms:created xsi:type="dcterms:W3CDTF">2022-07-29T09:29:00Z</dcterms:created>
  <dcterms:modified xsi:type="dcterms:W3CDTF">2022-08-03T11:15:00Z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http://csl.mendeley.com/styles/487351461/harvard-cite-them-right-2</vt:lpwstr>
  </property>
  <property fmtid="{D5CDD505-2E9C-101B-9397-08002B2CF9AE}" pid="13" name="Mendeley Recent Style Name 5_1">
    <vt:lpwstr>Harvard reference format 1 (author date) - dora fitria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f2372386-e08b-36f5-84a5-9b5d570d5f78</vt:lpwstr>
  </property>
  <property fmtid="{D5CDD505-2E9C-101B-9397-08002B2CF9AE}" pid="24" name="Mendeley Citation Style_1">
    <vt:lpwstr>http://www.zotero.org/styles/vancouver</vt:lpwstr>
  </property>
</Properties>
</file>