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8"/>
          <w:sz w:val="26"/>
          <w:szCs w:val="26"/>
        </w:rPr>
        <w:t xml:space="preserve">Predicting Employee Burnout and Resignation Risk Using Machine Learning on Workplace Behavioral Data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Fajar Khalid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</w:t>
      </w:r>
      <w:r>
        <w:rPr>
          <w:rFonts w:ascii="Calibri" w:cs="Calibri" w:eastAsia="Calibri" w:hAnsi="Calibri"/>
          <w:sz w:val="18"/>
          <w:szCs w:val="18"/>
        </w:rPr>
        <w:t xml:space="preserve">fajarkhalid60@gmail.com</w:t>
      </w:r>
      <w:r>
        <w:rPr>
          <w:rFonts w:ascii="Calibri" w:cs="Calibri" w:eastAsia="Calibri" w:hAnsi="Calibri"/>
          <w:sz w:val="18"/>
          <w:szCs w:val="18"/>
        </w:rPr>
        <w:t xml:space="preserve">  |  AI &amp; ML Internship  |  Milestone 1: Dataset Selection &amp; Preprocessing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Problem Statement</w:t>
      </w:r>
    </w:p>
    <w:p>
      <w:pPr>
        <w:spacing w:after="90"/>
      </w:pPr>
      <w:r>
        <w:rPr>
          <w:rFonts w:ascii="Calibri" w:cs="Calibri" w:eastAsia="Calibri" w:hAnsi="Calibri"/>
          <w:sz w:val="18"/>
          <w:szCs w:val="18"/>
        </w:rPr>
        <w:t xml:space="preserve">Organizations often discover employee dissatisfaction or burnout only after it escalates into resignation, by which point retention is no longer possible. Most HR teams lack accessible, data-driven tools to proactively identify at-risk employees using data they already collect, such as attendance, overtime, and satisfaction metrics. This project develops a predictive system that classifies employees into resignation-risk categories and estimates related outcomes such as tenure, enabling HR teams to intervene early.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Dataset Source and Justification</w:t>
      </w:r>
    </w:p>
    <w:p>
      <w:pPr>
        <w:spacing w:after="90"/>
      </w:pPr>
      <w:r>
        <w:rPr>
          <w:rFonts w:ascii="Calibri" w:cs="Calibri" w:eastAsia="Calibri" w:hAnsi="Calibri"/>
          <w:sz w:val="18"/>
          <w:szCs w:val="18"/>
        </w:rPr>
        <w:t xml:space="preserve">The IBM HR Analytics Employee Attrition &amp; Performance dataset (Kaggle) was selected. It contains 1,470 employee records with 35 features directly aligned with the project proposal — including OverTime, JobSatisfaction, WorkLifeBalance, MonthlyIncome, and YearsAtCompany — with Attrition as the target variable representing resignation. Its combination of behavioral, demographic, and tenure features makes it well suited for both the classification (resignation prediction) and regression (tenure/satisfaction prediction) components of the proposal.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Dataset Overview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Dimensions: 1,470 rows × 35 columns (31 after removing constant/identifier columns)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Data types: 26 numeric, 9 categorical (text) attributes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Target variable: Attrition (Yes/No) — 16.1% Yes, 83.9% No (class imbalance present)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Missing values: 0  |  Duplicate records: 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Outliers detected in MonthlyIncome, TotalWorkingYears, and YearsAtCompany, representing genuine senior/long-tenured employees rather than data errors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Feature Descriptions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8" w:color="auto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6500"/>
            <w:shd w:fill="1F4E78" w:color="auto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Age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Employee's age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Attrition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Target variable — whether the employee resigned or not (Yes/No)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BusinessTravel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Frequency of business travel required for the job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Department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Department the employee works in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DistanceFromHome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Distance between home and office (in km)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Education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Education level (1 = Below College, 5 = Doctorate)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EducationField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Field of study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EnvironmentSatisfaction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Satisfaction with work environment (1–4)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Gender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Employee's gender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JobInvolvement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Level of involvement in job (1–4)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JobLevel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Job level within the company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JobRole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Employee's job role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JobSatisfaction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Job satisfaction score (1–4)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MaritalStatus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Marital status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MonthlyIncome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Monthly salary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NumCompaniesWorked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Number of companies worked at previously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OverTime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Whether the employee works overtime (Yes/No)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PercentSalaryHike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Percentage increase in salary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PerformanceRating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Performance rating (1–4)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RelationshipSatisfaction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Satisfaction with workplace relationships (1–4)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StockOptionLevel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Level of stock options granted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TotalWorkingYears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Total years of professional experience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TrainingTimesLastYear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Number of training sessions attended last year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WorkLifeBalance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Work-life balance rating (1–4)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YearsAtCompany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Number of years at the current company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YearsInCurrentRole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Number of years in the current role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YearsSinceLastPromotion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Years since the last promotion</w:t>
            </w:r>
          </w:p>
        </w:tc>
      </w:tr>
      <w:tr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YearsWithCurrManager</w:t>
            </w:r>
          </w:p>
        </w:tc>
        <w:tc>
          <w:tcPr>
            <w:tcW w:type="dxa" w:w="6500"/>
            <w:shd w:fill="FFFFFF" w:color="auto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Years spent with the current manager</w:t>
            </w:r>
          </w:p>
        </w:tc>
      </w:tr>
    </w:tbl>
    <w:p>
      <w:pPr>
        <w:spacing w:before="15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Preprocessing Steps Performed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Removed 4 non-informative columns: EmployeeCount, StandardHours, Over18 (constant values) and EmployeeNumber (identifier only)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Verified dataset for missing values and duplicate records — none found, no imputation required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Outlier inspection via boxplots; outliers retained as they represent valid senior-employee data relevant to attrition prediction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Label Encoding applied to binary categorical features: Attrition, Gender, OverTime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One-Hot Encoding applied to multi-class categorical features: BusinessTravel, Department, EducationField, JobRole, MaritalStatus (44 features after encoding)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Feature Scaling: StandardScaler used to standardize all numeric features (mean = 0, SD = 1), justified by the large scale differences between features such as MonthlyIncome (1K–20K) and rating-scale features (1–4), which would otherwise bias distance- and gradient-based models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Train-test split: 80% training (1,176 rows) / 20% testing (294 rows), stratified to preserve class ratio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Class Imbalance: Training set was imbalanced (986 No / 190 Yes). SMOTE-Tomek was applied on the training set only to generate synthetic minority-class samples and remove overlapping boundary points, resulting in a balanced 986/986 distribution.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Libraries and Tools Used</w:t>
      </w:r>
    </w:p>
    <w:p>
      <w:pPr>
        <w:spacing w:after="90"/>
      </w:pPr>
      <w:r>
        <w:rPr>
          <w:rFonts w:ascii="Calibri" w:cs="Calibri" w:eastAsia="Calibri" w:hAnsi="Calibri"/>
          <w:sz w:val="18"/>
          <w:szCs w:val="18"/>
        </w:rPr>
        <w:t xml:space="preserve">Python, Pandas, NumPy, Scikit-learn (StandardScaler, train_test_split), Imbalanced-learn (SMOTETomek), Matplotlib, Google Colab, Git &amp; GitHub.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Challenges Encountered</w:t>
      </w:r>
    </w:p>
    <w:p>
      <w:pPr>
        <w:spacing w:after="90"/>
      </w:pPr>
      <w:r>
        <w:rPr>
          <w:rFonts w:ascii="Calibri" w:cs="Calibri" w:eastAsia="Calibri" w:hAnsi="Calibri"/>
          <w:sz w:val="18"/>
          <w:szCs w:val="18"/>
        </w:rPr>
        <w:t xml:space="preserve">The dataset required no missing-value handling, simplifying preprocessing. The main challenge was the pronounced class imbalance (~5:1) in the target variable, addressed using SMOTE-Tomek applied strictly to the training split to avoid test-set contamination. Deciding how to treat outliers in tenure and income also required care, since they reflect genuine senior employees rather than data-entry errors.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2026-07-16T11:46:21.633Z</dcterms:created>
  <dcterms:modified xsi:type="dcterms:W3CDTF">2026-07-16T11:46:21.652Z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