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333" w:rsidRDefault="00DB0333" w:rsidP="00DB0333">
      <w:pPr>
        <w:spacing w:after="0" w:line="240" w:lineRule="auto"/>
        <w:ind w:left="720" w:firstLine="7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41910</wp:posOffset>
            </wp:positionV>
            <wp:extent cx="885825" cy="914400"/>
            <wp:effectExtent l="19050" t="0" r="9525" b="0"/>
            <wp:wrapNone/>
            <wp:docPr id="1" name="Picture 35" descr="DEPDIKNAS HITAM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PDIKNAS HITAMPUTI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1B5C">
        <w:rPr>
          <w:rFonts w:ascii="Times New Roman" w:hAnsi="Times New Roman"/>
          <w:sz w:val="32"/>
          <w:szCs w:val="32"/>
        </w:rPr>
        <w:t>KEMENTERIAN PENDIDIKAN DAN KEBUDAYAA</w:t>
      </w:r>
      <w:r>
        <w:rPr>
          <w:rFonts w:ascii="Times New Roman" w:hAnsi="Times New Roman"/>
          <w:sz w:val="32"/>
          <w:szCs w:val="32"/>
        </w:rPr>
        <w:t>N</w:t>
      </w:r>
    </w:p>
    <w:p w:rsidR="00DB0333" w:rsidRPr="001839ED" w:rsidRDefault="00DB0333" w:rsidP="00DB0333">
      <w:pPr>
        <w:spacing w:after="0" w:line="240" w:lineRule="auto"/>
        <w:ind w:left="720" w:firstLine="720"/>
        <w:jc w:val="center"/>
        <w:rPr>
          <w:rFonts w:ascii="Times New Roman" w:hAnsi="Times New Roman"/>
          <w:sz w:val="32"/>
          <w:szCs w:val="32"/>
        </w:rPr>
      </w:pPr>
      <w:r w:rsidRPr="00D61B5C">
        <w:rPr>
          <w:rFonts w:ascii="Times New Roman" w:hAnsi="Times New Roman"/>
          <w:b/>
          <w:sz w:val="28"/>
          <w:szCs w:val="28"/>
        </w:rPr>
        <w:t>KANTOR BAHASA</w:t>
      </w:r>
      <w:r>
        <w:rPr>
          <w:rFonts w:ascii="Times New Roman" w:hAnsi="Times New Roman"/>
          <w:b/>
          <w:sz w:val="28"/>
          <w:szCs w:val="28"/>
        </w:rPr>
        <w:t>NUSA TENGGARA BARAT</w:t>
      </w:r>
    </w:p>
    <w:p w:rsidR="00DB0333" w:rsidRPr="00D61B5C" w:rsidRDefault="00DB0333" w:rsidP="00DB0333">
      <w:pPr>
        <w:spacing w:after="0"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 xml:space="preserve">             </w:t>
      </w:r>
      <w:r w:rsidRPr="00D61B5C">
        <w:rPr>
          <w:rFonts w:ascii="Times New Roman" w:hAnsi="Times New Roman"/>
        </w:rPr>
        <w:t xml:space="preserve">Jalan </w:t>
      </w:r>
      <w:r>
        <w:rPr>
          <w:rFonts w:ascii="Times New Roman" w:hAnsi="Times New Roman"/>
        </w:rPr>
        <w:t>Dokter Sujono</w:t>
      </w:r>
      <w:r w:rsidRPr="00D61B5C">
        <w:rPr>
          <w:rFonts w:ascii="Times New Roman" w:hAnsi="Times New Roman"/>
        </w:rPr>
        <w:t>, Kelurahan Jempong Baru, Kecamatan Sekarbela, Kota Mataram</w:t>
      </w:r>
    </w:p>
    <w:p w:rsidR="00DB0333" w:rsidRDefault="00DB0333" w:rsidP="00DB0333">
      <w:pPr>
        <w:spacing w:after="0" w:line="240" w:lineRule="auto"/>
        <w:ind w:left="2160"/>
        <w:jc w:val="center"/>
        <w:rPr>
          <w:rFonts w:ascii="Times New Roman" w:hAnsi="Times New Roman"/>
        </w:rPr>
      </w:pPr>
      <w:r w:rsidRPr="00D61B5C">
        <w:rPr>
          <w:rFonts w:ascii="Times New Roman" w:hAnsi="Times New Roman"/>
        </w:rPr>
        <w:t xml:space="preserve">Telepon </w:t>
      </w:r>
      <w:r>
        <w:rPr>
          <w:rFonts w:ascii="Times New Roman" w:hAnsi="Times New Roman"/>
        </w:rPr>
        <w:t>(0370) 623544</w:t>
      </w:r>
      <w:r w:rsidRPr="00D61B5C">
        <w:rPr>
          <w:rFonts w:ascii="Times New Roman" w:hAnsi="Times New Roman"/>
        </w:rPr>
        <w:t>, Faksimile (0370) 623539</w:t>
      </w:r>
    </w:p>
    <w:p w:rsidR="00DB0333" w:rsidRDefault="00DB0333" w:rsidP="00DB0333">
      <w:pPr>
        <w:spacing w:after="0" w:line="240" w:lineRule="auto"/>
        <w:ind w:left="2160"/>
        <w:jc w:val="center"/>
        <w:rPr>
          <w:rFonts w:ascii="Times New Roman" w:hAnsi="Times New Roman"/>
        </w:rPr>
      </w:pPr>
    </w:p>
    <w:p w:rsidR="00DB0333" w:rsidRDefault="00CD3F20" w:rsidP="00DB0333">
      <w:pPr>
        <w:spacing w:after="0" w:line="240" w:lineRule="auto"/>
        <w:ind w:left="216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107314</wp:posOffset>
                </wp:positionV>
                <wp:extent cx="5703570" cy="0"/>
                <wp:effectExtent l="0" t="19050" r="11430" b="0"/>
                <wp:wrapTopAndBottom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35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32A8E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8.45pt" to="449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" strokeweight="2.25pt">
                <w10:wrap type="topAndBottom"/>
              </v:line>
            </w:pict>
          </mc:Fallback>
        </mc:AlternateContent>
      </w:r>
    </w:p>
    <w:p w:rsidR="00DB0333" w:rsidRDefault="00DB0333" w:rsidP="00DB03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6207" w:rsidRPr="00DB0333" w:rsidRDefault="00DB0333" w:rsidP="00DB03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0333">
        <w:rPr>
          <w:rFonts w:ascii="Times New Roman" w:hAnsi="Times New Roman" w:cs="Times New Roman"/>
          <w:b/>
          <w:sz w:val="24"/>
          <w:szCs w:val="24"/>
        </w:rPr>
        <w:t>LEMBAR PENILAIAN NASKAH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33"/>
        <w:gridCol w:w="4476"/>
      </w:tblGrid>
      <w:tr w:rsidR="00DB0333" w:rsidTr="00DB0333">
        <w:tc>
          <w:tcPr>
            <w:tcW w:w="4513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4559" w:type="dxa"/>
          </w:tcPr>
          <w:p w:rsidR="00DB0333" w:rsidRPr="00156E86" w:rsidRDefault="00156E86" w:rsidP="00156E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Kearifan Lokal Suku Sasak Sebagai Model Pengelolaan  Konflik Di Masyarakat Lombok</w:t>
            </w:r>
          </w:p>
        </w:tc>
      </w:tr>
      <w:tr w:rsidR="00DB0333" w:rsidTr="00DB0333">
        <w:tc>
          <w:tcPr>
            <w:tcW w:w="4513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Naskah</w:t>
            </w:r>
          </w:p>
        </w:tc>
        <w:tc>
          <w:tcPr>
            <w:tcW w:w="4559" w:type="dxa"/>
          </w:tcPr>
          <w:p w:rsidR="00DB0333" w:rsidRPr="00156E86" w:rsidRDefault="00156E86" w:rsidP="00156E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</w:tc>
      </w:tr>
      <w:tr w:rsidR="00DB0333" w:rsidTr="00DB0333">
        <w:tc>
          <w:tcPr>
            <w:tcW w:w="4513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Penerimaan</w:t>
            </w:r>
          </w:p>
        </w:tc>
        <w:tc>
          <w:tcPr>
            <w:tcW w:w="4559" w:type="dxa"/>
          </w:tcPr>
          <w:p w:rsidR="00DB0333" w:rsidRPr="00156E86" w:rsidRDefault="00156E86" w:rsidP="00156E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 April 2018</w:t>
            </w:r>
          </w:p>
        </w:tc>
      </w:tr>
      <w:tr w:rsidR="00DB0333" w:rsidTr="00DB0333">
        <w:tc>
          <w:tcPr>
            <w:tcW w:w="4513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Selesai Pemeriksaan</w:t>
            </w:r>
          </w:p>
        </w:tc>
        <w:tc>
          <w:tcPr>
            <w:tcW w:w="4559" w:type="dxa"/>
          </w:tcPr>
          <w:p w:rsidR="00DB0333" w:rsidRPr="00156E86" w:rsidRDefault="00156E86" w:rsidP="00156E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 April 2018</w:t>
            </w:r>
          </w:p>
        </w:tc>
      </w:tr>
      <w:tr w:rsidR="00DB0333" w:rsidTr="00DB0333">
        <w:tc>
          <w:tcPr>
            <w:tcW w:w="4513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Penilai</w:t>
            </w:r>
          </w:p>
        </w:tc>
        <w:tc>
          <w:tcPr>
            <w:tcW w:w="4559" w:type="dxa"/>
          </w:tcPr>
          <w:p w:rsidR="00DB0333" w:rsidRPr="00156E86" w:rsidRDefault="00156E86" w:rsidP="00156E8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Dr. Dra. Ni Wayan Sartini, M.Hum.</w:t>
            </w:r>
          </w:p>
        </w:tc>
      </w:tr>
      <w:tr w:rsidR="00DB0333" w:rsidTr="00DB0333">
        <w:tc>
          <w:tcPr>
            <w:tcW w:w="4513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9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0333" w:rsidRDefault="00DB0333" w:rsidP="00DB033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3873"/>
        <w:gridCol w:w="4466"/>
      </w:tblGrid>
      <w:tr w:rsidR="00DB0333" w:rsidTr="00DB0333"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66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UNSUR YANG DINILAI</w:t>
            </w:r>
          </w:p>
        </w:tc>
        <w:tc>
          <w:tcPr>
            <w:tcW w:w="4599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333" w:rsidTr="00DB0333"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6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Sistematika Penulisan</w:t>
            </w:r>
          </w:p>
        </w:tc>
        <w:tc>
          <w:tcPr>
            <w:tcW w:w="4599" w:type="dxa"/>
          </w:tcPr>
          <w:p w:rsidR="00DB0333" w:rsidRPr="00156E86" w:rsidRDefault="00156E86" w:rsidP="00156E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Perlu diatur kembali, belum sesuai gaya selingkung</w:t>
            </w:r>
          </w:p>
        </w:tc>
      </w:tr>
      <w:tr w:rsidR="00DB0333" w:rsidTr="00DB0333"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6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Bahasa</w:t>
            </w:r>
          </w:p>
        </w:tc>
        <w:tc>
          <w:tcPr>
            <w:tcW w:w="4599" w:type="dxa"/>
          </w:tcPr>
          <w:p w:rsidR="00DB0333" w:rsidRPr="00156E86" w:rsidRDefault="00DB0333" w:rsidP="00156E8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B0333" w:rsidTr="00DB0333"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6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4599" w:type="dxa"/>
          </w:tcPr>
          <w:p w:rsidR="00DB0333" w:rsidRPr="00DC67B0" w:rsidRDefault="00DC67B0" w:rsidP="00DC67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Kearifan Lokal Suku Sasak sebagai Model Pengelolaan Konflik di Masyarakat Lombok</w:t>
            </w:r>
          </w:p>
        </w:tc>
      </w:tr>
      <w:tr w:rsidR="00DB0333" w:rsidTr="00DB0333"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6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</w:p>
        </w:tc>
        <w:tc>
          <w:tcPr>
            <w:tcW w:w="4599" w:type="dxa"/>
          </w:tcPr>
          <w:p w:rsidR="00DB0333" w:rsidRPr="00F26D9E" w:rsidRDefault="00F26D9E" w:rsidP="00F26D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Belum mencantumkan tujuan penulisan, metode, data, hasil penelitian dan implikasi penelitian. </w:t>
            </w:r>
          </w:p>
        </w:tc>
      </w:tr>
      <w:tr w:rsidR="00DB0333" w:rsidTr="00DB0333"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6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</w:p>
        </w:tc>
        <w:tc>
          <w:tcPr>
            <w:tcW w:w="4599" w:type="dxa"/>
          </w:tcPr>
          <w:p w:rsidR="00DB0333" w:rsidRPr="00F26D9E" w:rsidRDefault="00F26D9E" w:rsidP="00F26D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Perlu dieksplisitkan tujuan dan urgensi penulisan, karena  dalam pendahuluan masih sangat umum. </w:t>
            </w:r>
          </w:p>
        </w:tc>
      </w:tr>
      <w:tr w:rsidR="00DB0333" w:rsidTr="00DB0333"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6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Tata Kerja/Metodologi</w:t>
            </w:r>
          </w:p>
        </w:tc>
        <w:tc>
          <w:tcPr>
            <w:tcW w:w="4599" w:type="dxa"/>
          </w:tcPr>
          <w:p w:rsidR="00DB0333" w:rsidRPr="00F26D9E" w:rsidRDefault="00F26D9E" w:rsidP="00F26D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Belum tergambar secara jelas tata kerja  atau metodologi yang digunakan. </w:t>
            </w:r>
          </w:p>
        </w:tc>
      </w:tr>
      <w:tr w:rsidR="00DB0333" w:rsidTr="00DB0333"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66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dan Pembahasan</w:t>
            </w:r>
          </w:p>
        </w:tc>
        <w:tc>
          <w:tcPr>
            <w:tcW w:w="4599" w:type="dxa"/>
          </w:tcPr>
          <w:p w:rsidR="00DB0333" w:rsidRPr="00F26D9E" w:rsidRDefault="00F26D9E" w:rsidP="00F26D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Pembahasan sudah komprehensif dan jelas namun perlu ditata lagi agar sesuai dengan gaya selingkung</w:t>
            </w:r>
            <w:r w:rsidR="00D279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DB0333" w:rsidTr="00DB0333"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966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</w:p>
        </w:tc>
        <w:tc>
          <w:tcPr>
            <w:tcW w:w="4599" w:type="dxa"/>
          </w:tcPr>
          <w:p w:rsidR="00DB0333" w:rsidRPr="00D2793A" w:rsidRDefault="00D2793A" w:rsidP="00D279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Terlalu umum karena rumusan permasalahan belum jelas. Simpulan merupakan jawaban atas rumusan masalah dan implikasinya pada masyarakat.</w:t>
            </w:r>
          </w:p>
        </w:tc>
      </w:tr>
      <w:tr w:rsidR="00DB0333" w:rsidTr="00DB0333"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966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</w:tc>
        <w:tc>
          <w:tcPr>
            <w:tcW w:w="4599" w:type="dxa"/>
          </w:tcPr>
          <w:p w:rsidR="00DB0333" w:rsidRPr="00D2793A" w:rsidRDefault="00D2793A" w:rsidP="00D279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Sudah sesuai </w:t>
            </w:r>
          </w:p>
        </w:tc>
      </w:tr>
      <w:tr w:rsidR="00DB0333" w:rsidTr="007034C7">
        <w:trPr>
          <w:trHeight w:val="983"/>
        </w:trPr>
        <w:tc>
          <w:tcPr>
            <w:tcW w:w="570" w:type="dxa"/>
          </w:tcPr>
          <w:p w:rsidR="00DB0333" w:rsidRDefault="00DB0333" w:rsidP="00DB0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966" w:type="dxa"/>
          </w:tcPr>
          <w:p w:rsidR="00DB0333" w:rsidRDefault="00DB0333" w:rsidP="00DB0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Umum</w:t>
            </w:r>
          </w:p>
        </w:tc>
        <w:tc>
          <w:tcPr>
            <w:tcW w:w="4599" w:type="dxa"/>
          </w:tcPr>
          <w:p w:rsidR="00DB0333" w:rsidRPr="00D2793A" w:rsidRDefault="00D2793A" w:rsidP="007034C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Artikel ini dari segi pembahasan cukup komprehensif dan </w:t>
            </w:r>
            <w:r w:rsidR="007034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topik yang dibahas sangat penting dan sesuai dengan kondisi masyarakat Indonesia.  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erlu ditata</w:t>
            </w:r>
            <w:r w:rsidR="007034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lagi sistematika penulisannya dan dijelaskan  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etode penelitian </w:t>
            </w:r>
            <w:r w:rsidR="007034C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yang digunakan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kalau tulisan ini adalah hasil penelitian.  </w:t>
            </w:r>
          </w:p>
        </w:tc>
      </w:tr>
    </w:tbl>
    <w:p w:rsidR="00DB0333" w:rsidRPr="00DB0333" w:rsidRDefault="00DB0333" w:rsidP="00DB033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B0333" w:rsidRPr="00DB0333" w:rsidSect="00DB03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33"/>
    <w:rsid w:val="00156E86"/>
    <w:rsid w:val="007034C7"/>
    <w:rsid w:val="00B46207"/>
    <w:rsid w:val="00CD3F20"/>
    <w:rsid w:val="00D2793A"/>
    <w:rsid w:val="00DB0333"/>
    <w:rsid w:val="00DC67B0"/>
    <w:rsid w:val="00F2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F8946-FC46-4735-A5DB-83EB4807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3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Windows User</cp:lastModifiedBy>
  <cp:revision>2</cp:revision>
  <dcterms:created xsi:type="dcterms:W3CDTF">2018-05-02T04:16:00Z</dcterms:created>
  <dcterms:modified xsi:type="dcterms:W3CDTF">2018-05-02T04:16:00Z</dcterms:modified>
</cp:coreProperties>
</file>