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fsipyr13fsi-이온성-액체-전해질의-분자동역학-탐색-연구"/>
    <w:p>
      <w:pPr>
        <w:pStyle w:val="Heading1"/>
      </w:pPr>
      <w:r>
        <w:t xml:space="preserve">LiFSI/Pyr13FSI 이온성 액체 전해질의 분자동역학 탐색 연구</w:t>
      </w:r>
    </w:p>
    <w:bookmarkStart w:id="9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본 연구에서는 LiFSI/Pyr13FSI 계열 이온성 액체 전해질의 분자동역학 시뮬레이션 환경을 구축하고, 초기 밀도 및 독립 초기화 조건에 대한 탐색적 평형화 거동을 조사하였다. 현재 결과는 기술적 실행과 초기 반복 간 일치 여부를 검증한 단계이며, 열역학적 평형이나 수송 물성을 확정하지 않는다.</w:t>
      </w:r>
    </w:p>
    <w:p>
      <w:pPr>
        <w:pStyle w:val="BlockText"/>
      </w:pPr>
      <w:r>
        <w:t xml:space="preserve">TODO: 최종 제출 분량에 맞춰 연구 목적, 핵심 수치, 결론을 5–7문장으로 정리한다.</w:t>
      </w:r>
    </w:p>
    <w:bookmarkEnd w:id="9"/>
    <w:bookmarkStart w:id="10" w:name="연구-동기와-목적"/>
    <w:p>
      <w:pPr>
        <w:pStyle w:val="Heading2"/>
      </w:pPr>
      <w:r>
        <w:t xml:space="preserve">1. 연구 동기와 목적</w:t>
      </w:r>
    </w:p>
    <w:p>
      <w:pPr>
        <w:pStyle w:val="BlockText"/>
      </w:pPr>
      <w:r>
        <w:t xml:space="preserve">TODO: 연구 질문과 교육적·과학적 동기를 작성한다.</w:t>
      </w:r>
    </w:p>
    <w:bookmarkEnd w:id="10"/>
    <w:bookmarkStart w:id="11" w:name="이론적-배경"/>
    <w:p>
      <w:pPr>
        <w:pStyle w:val="Heading2"/>
      </w:pPr>
      <w:r>
        <w:t xml:space="preserve">2. 이론적 배경</w:t>
      </w:r>
    </w:p>
    <w:p>
      <w:pPr>
        <w:pStyle w:val="BlockText"/>
      </w:pPr>
      <w:r>
        <w:t xml:space="preserve">TODO: MD, ensemble, RDF, MSD 및 전하 스케일링을 참고문헌과 함께 설명한다.</w:t>
      </w:r>
    </w:p>
    <w:bookmarkEnd w:id="11"/>
    <w:bookmarkStart w:id="12" w:name="연구-방법"/>
    <w:p>
      <w:pPr>
        <w:pStyle w:val="Heading2"/>
      </w:pPr>
      <w:r>
        <w:t xml:space="preserve">3. 연구 방법</w:t>
      </w:r>
    </w:p>
    <w:p>
      <w:pPr>
        <w:pStyle w:val="FirstParagraph"/>
      </w:pPr>
      <w:r>
        <w:t xml:space="preserve">상세 실행 조건과 재현 근거는</w:t>
      </w:r>
      <w:r>
        <w:t xml:space="preserve"> </w:t>
      </w:r>
      <w:r>
        <w:rPr>
          <w:rStyle w:val="VerbatimChar"/>
        </w:rPr>
        <w:t xml:space="preserve">METHODS.md</w:t>
      </w:r>
      <w:r>
        <w:t xml:space="preserve">를 기준으로 작성한다.</w:t>
      </w:r>
    </w:p>
    <w:bookmarkEnd w:id="12"/>
    <w:bookmarkStart w:id="15" w:name="결과"/>
    <w:p>
      <w:pPr>
        <w:pStyle w:val="Heading2"/>
      </w:pPr>
      <w:r>
        <w:t xml:space="preserve">4. 결과</w:t>
      </w:r>
    </w:p>
    <w:p>
      <w:pPr>
        <w:pStyle w:val="FirstParagraph"/>
      </w:pPr>
      <w:r>
        <w:t xml:space="preserve">검증된 수치는</w:t>
      </w:r>
      <w:r>
        <w:t xml:space="preserve"> </w:t>
      </w:r>
      <w:r>
        <w:rPr>
          <w:rStyle w:val="VerbatimChar"/>
        </w:rPr>
        <w:t xml:space="preserve">RESULTS_TABLE.csv</w:t>
      </w:r>
      <w:r>
        <w:t xml:space="preserve">를 기준으로 옮긴다.</w:t>
      </w:r>
    </w:p>
    <w:bookmarkStart w:id="13" w:name="초기-밀도-민감도-탐색"/>
    <w:p>
      <w:pPr>
        <w:pStyle w:val="Heading3"/>
      </w:pPr>
      <w:r>
        <w:t xml:space="preserve">4.1 초기 밀도 민감도 탐색</w:t>
      </w:r>
    </w:p>
    <w:p>
      <w:pPr>
        <w:pStyle w:val="FirstParagraph"/>
      </w:pPr>
      <w:r>
        <w:t xml:space="preserve">L1P1x2 후보의 서로 다른 초기 밀도 세 체인은 총 NPT 3 ns 탐색에서 마지막 1 ns 평균 밀도 spread 1.2557%를 보였다. 이 결과는</w:t>
      </w:r>
      <w:r>
        <w:t xml:space="preserve"> </w:t>
      </w:r>
      <w:r>
        <w:rPr>
          <w:rStyle w:val="VerbatimChar"/>
        </w:rPr>
        <w:t xml:space="preserve">THREE_NS_SAME_BASIN_CANDIDATE</w:t>
      </w:r>
      <w:r>
        <w:t xml:space="preserve">로 판정됐으나, 세 체인이 같은 속도 seed를 사용했으므로 독립 replica 결과가 아니다.</w:t>
      </w:r>
    </w:p>
    <w:bookmarkEnd w:id="13"/>
    <w:bookmarkStart w:id="14" w:name="독립-replica-1-ns-탐색"/>
    <w:p>
      <w:pPr>
        <w:pStyle w:val="Heading3"/>
      </w:pPr>
      <w:r>
        <w:t xml:space="preserve">4.2 독립 replica 1 ns 탐색</w:t>
      </w:r>
    </w:p>
    <w:p>
      <w:pPr>
        <w:pStyle w:val="FirstParagraph"/>
      </w:pPr>
      <w:r>
        <w:t xml:space="preserve">서로 다른 Packmol seed와 NVT velocity seed를 사용한 세 replica의 마지막 500 ps 평균 밀도는 1513.96, 1515.56, 1516.76 kg/m³였다. replica 간 spread는 0.1846%였지만 세 체인 모두 사전 stationarity 문턱에서</w:t>
      </w:r>
      <w:r>
        <w:t xml:space="preserve"> </w:t>
      </w:r>
      <w:r>
        <w:rPr>
          <w:rStyle w:val="VerbatimChar"/>
        </w:rPr>
        <w:t xml:space="preserve">SCREEN_EXTEND</w:t>
      </w:r>
      <w:r>
        <w:t xml:space="preserve">로 판정됐다. 따라서 집합 판정은</w:t>
      </w:r>
      <w:r>
        <w:t xml:space="preserve"> </w:t>
      </w:r>
      <w:r>
        <w:rPr>
          <w:rStyle w:val="VerbatimChar"/>
        </w:rPr>
        <w:t xml:space="preserve">ONE_NS_REPLICA_UNIFORM_EXTENSION_REQUIRED</w:t>
      </w:r>
      <w:r>
        <w:t xml:space="preserve">다.</w:t>
      </w:r>
    </w:p>
    <w:bookmarkEnd w:id="14"/>
    <w:bookmarkEnd w:id="15"/>
    <w:bookmarkStart w:id="16" w:name="논의"/>
    <w:p>
      <w:pPr>
        <w:pStyle w:val="Heading2"/>
      </w:pPr>
      <w:r>
        <w:t xml:space="preserve">5. 논의</w:t>
      </w:r>
    </w:p>
    <w:p>
      <w:pPr>
        <w:pStyle w:val="FirstParagraph"/>
      </w:pPr>
      <w:r>
        <w:t xml:space="preserve">밀도 평균의 근접성은 초기 반복 간 유사한 밀도 영역을 탐색했다는 증거이지만, 짧은 분석 구간의 온도 slope와 아직 수행하지 않은 장시간 구조·수송 분석 때문에 평형을 선언할 수 없다.</w:t>
      </w:r>
    </w:p>
    <w:bookmarkEnd w:id="16"/>
    <w:bookmarkStart w:id="17" w:name="결론과-후속-계획"/>
    <w:p>
      <w:pPr>
        <w:pStyle w:val="Heading2"/>
      </w:pPr>
      <w:r>
        <w:t xml:space="preserve">6. 결론과 후속 계획</w:t>
      </w:r>
    </w:p>
    <w:p>
      <w:pPr>
        <w:pStyle w:val="FirstParagraph"/>
      </w:pPr>
      <w:r>
        <w:t xml:space="preserve">본 연구는 재현 가능한 입력 생성, 안전한 로컬 실행, 자동 QC, checksum 기반 provenance와 독립 replica 설계를 구현했다. 다음 단계는 세 replica의 동일 총 3 ns 연장, 독립 replica 전용 비교기 적용, 연구실 서버 재현이다.</w:t>
      </w:r>
    </w:p>
    <w:bookmarkEnd w:id="17"/>
    <w:bookmarkStart w:id="18" w:name="검증-한계"/>
    <w:p>
      <w:pPr>
        <w:pStyle w:val="Heading2"/>
      </w:pPr>
      <w:r>
        <w:t xml:space="preserve">검증 한계</w:t>
      </w:r>
    </w:p>
    <w:p>
      <w:pPr>
        <w:pStyle w:val="FirstParagraph"/>
      </w:pPr>
      <w:r>
        <w:rPr>
          <w:rStyle w:val="VerbatimChar"/>
        </w:rPr>
        <w:t xml:space="preserve">LIMITATIONS.md</w:t>
      </w:r>
      <w:r>
        <w:t xml:space="preserve">의 내용을 최종 본문 분량에 맞춰 요약한다.</w:t>
      </w:r>
    </w:p>
    <w:bookmarkEnd w:id="18"/>
    <w:bookmarkStart w:id="19" w:name="참고문헌"/>
    <w:p>
      <w:pPr>
        <w:pStyle w:val="Heading2"/>
      </w:pPr>
      <w:r>
        <w:t xml:space="preserve">참고문헌</w:t>
      </w:r>
    </w:p>
    <w:p>
      <w:pPr>
        <w:pStyle w:val="BlockText"/>
      </w:pPr>
      <w:r>
        <w:t xml:space="preserve">TODO: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의 검증된 항목만 렌더링한다.</w:t>
      </w:r>
    </w:p>
    <w:bookmarkEnd w:id="19"/>
    <w:bookmarkEnd w:id="20"/>
    <w:bookmarkStart w:id="26" w:name="연구-방법-재현-기록"/>
    <w:p>
      <w:pPr>
        <w:pStyle w:val="Heading1"/>
      </w:pPr>
      <w:r>
        <w:t xml:space="preserve">연구 방법 재현 기록</w:t>
      </w:r>
    </w:p>
    <w:bookmarkStart w:id="21" w:name="시스템"/>
    <w:p>
      <w:pPr>
        <w:pStyle w:val="Heading2"/>
      </w:pPr>
      <w:r>
        <w:t xml:space="preserve">시스템</w:t>
      </w:r>
    </w:p>
    <w:p>
      <w:pPr>
        <w:pStyle w:val="Compact"/>
        <w:numPr>
          <w:ilvl w:val="0"/>
          <w:numId w:val="1001"/>
        </w:numPr>
      </w:pPr>
      <w:r>
        <w:t xml:space="preserve">후보: L1P1x2</w:t>
      </w:r>
    </w:p>
    <w:p>
      <w:pPr>
        <w:pStyle w:val="Compact"/>
        <w:numPr>
          <w:ilvl w:val="0"/>
          <w:numId w:val="1001"/>
        </w:numPr>
      </w:pPr>
      <w:r>
        <w:t xml:space="preserve">조성: Li 50 / Pyr13 50 / FSI 100</w:t>
      </w:r>
    </w:p>
    <w:p>
      <w:pPr>
        <w:pStyle w:val="Compact"/>
        <w:numPr>
          <w:ilvl w:val="0"/>
          <w:numId w:val="1001"/>
        </w:numPr>
      </w:pPr>
      <w:r>
        <w:t xml:space="preserve">원자 수: 2,300</w:t>
      </w:r>
    </w:p>
    <w:p>
      <w:pPr>
        <w:pStyle w:val="Compact"/>
        <w:numPr>
          <w:ilvl w:val="0"/>
          <w:numId w:val="1001"/>
        </w:numPr>
      </w:pPr>
      <w:r>
        <w:t xml:space="preserve">초기 요청 밀도: 1,400 kg/m³</w:t>
      </w:r>
    </w:p>
    <w:p>
      <w:pPr>
        <w:pStyle w:val="Compact"/>
        <w:numPr>
          <w:ilvl w:val="0"/>
          <w:numId w:val="1001"/>
        </w:numPr>
      </w:pPr>
      <w:r>
        <w:t xml:space="preserve">실제 초기 밀도: 1,400.0339 kg/m³</w:t>
      </w:r>
    </w:p>
    <w:p>
      <w:pPr>
        <w:pStyle w:val="Compact"/>
        <w:numPr>
          <w:ilvl w:val="0"/>
          <w:numId w:val="1001"/>
        </w:numPr>
      </w:pPr>
      <w:r>
        <w:t xml:space="preserve">활성 전하 스케일: 0.75</w:t>
      </w:r>
    </w:p>
    <w:p>
      <w:pPr>
        <w:pStyle w:val="Compact"/>
        <w:numPr>
          <w:ilvl w:val="0"/>
          <w:numId w:val="1001"/>
        </w:numPr>
      </w:pPr>
      <w:r>
        <w:t xml:space="preserve">topology SHA-256:</w:t>
      </w:r>
      <w:r>
        <w:t xml:space="preserve"> </w:t>
      </w:r>
      <w:r>
        <w:rPr>
          <w:rStyle w:val="VerbatimChar"/>
        </w:rPr>
        <w:t xml:space="preserve">e411d910eabfcd4598f6a090bae23f4cbb6c95f4e0aad8726d603e1cf76bd4c8</w:t>
      </w:r>
    </w:p>
    <w:p>
      <w:pPr>
        <w:pStyle w:val="FirstParagraph"/>
      </w:pPr>
      <w:r>
        <w:t xml:space="preserve">0.75 전하 스케일은 기존 연구 조건을 보존한 후보값이며 물리적으로 최적화·승인된 값이 아니다.</w:t>
      </w:r>
    </w:p>
    <w:bookmarkEnd w:id="21"/>
    <w:bookmarkStart w:id="22" w:name="독립-replica"/>
    <w:p>
      <w:pPr>
        <w:pStyle w:val="Heading2"/>
      </w:pPr>
      <w:r>
        <w:t xml:space="preserve">독립 replica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Packmol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NVT velocity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110103</w:t>
            </w:r>
          </w:p>
        </w:tc>
      </w:tr>
    </w:tbl>
    <w:p>
      <w:pPr>
        <w:pStyle w:val="BodyText"/>
      </w:pPr>
      <w:r>
        <w:t xml:space="preserve">두 종류 seed가 모두 다르고 topology·조성·MD protocol은 동일하다.</w:t>
      </w:r>
    </w:p>
    <w:bookmarkEnd w:id="22"/>
    <w:bookmarkStart w:id="23" w:name="실행-단계"/>
    <w:p>
      <w:pPr>
        <w:pStyle w:val="Heading2"/>
      </w:pPr>
      <w:r>
        <w:t xml:space="preserve">실행 단계</w:t>
      </w:r>
    </w:p>
    <w:p>
      <w:pPr>
        <w:pStyle w:val="Compact"/>
        <w:numPr>
          <w:ilvl w:val="0"/>
          <w:numId w:val="1002"/>
        </w:numPr>
      </w:pPr>
      <w:r>
        <w:t xml:space="preserve">Packmol 21.2.3으로 초기 좌표 생성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grompp</w:t>
      </w:r>
      <w:r>
        <w:t xml:space="preserve"> </w:t>
      </w:r>
      <w:r>
        <w:t xml:space="preserve">warning 0 조건의 strict energy minimization</w:t>
      </w:r>
    </w:p>
    <w:p>
      <w:pPr>
        <w:pStyle w:val="Compact"/>
        <w:numPr>
          <w:ilvl w:val="0"/>
          <w:numId w:val="1002"/>
        </w:numPr>
      </w:pPr>
      <w:r>
        <w:t xml:space="preserve">NVT 100 ps</w:t>
      </w:r>
    </w:p>
    <w:p>
      <w:pPr>
        <w:pStyle w:val="Compact"/>
        <w:numPr>
          <w:ilvl w:val="0"/>
          <w:numId w:val="1002"/>
        </w:numPr>
      </w:pPr>
      <w:r>
        <w:t xml:space="preserve">NPT 1 ns 탐색</w:t>
      </w:r>
    </w:p>
    <w:p>
      <w:pPr>
        <w:pStyle w:val="Compact"/>
        <w:numPr>
          <w:ilvl w:val="0"/>
          <w:numId w:val="1002"/>
        </w:numPr>
      </w:pPr>
      <w:r>
        <w:t xml:space="preserve">자동 QC 및 독립 replica 비교</w:t>
      </w:r>
    </w:p>
    <w:p>
      <w:pPr>
        <w:pStyle w:val="Compact"/>
        <w:numPr>
          <w:ilvl w:val="0"/>
          <w:numId w:val="1003"/>
        </w:numPr>
      </w:pPr>
      <w:r>
        <w:t xml:space="preserve">GROMACS: 2026.3 Homebrew CPU build</w:t>
      </w:r>
    </w:p>
    <w:p>
      <w:pPr>
        <w:pStyle w:val="Compact"/>
        <w:numPr>
          <w:ilvl w:val="0"/>
          <w:numId w:val="1003"/>
        </w:numPr>
      </w:pPr>
      <w:r>
        <w:t xml:space="preserve">OpenMP: 동시에 한 체인, 스레드 6개</w:t>
      </w:r>
    </w:p>
    <w:p>
      <w:pPr>
        <w:pStyle w:val="Compact"/>
        <w:numPr>
          <w:ilvl w:val="0"/>
          <w:numId w:val="1003"/>
        </w:numPr>
      </w:pPr>
      <w:r>
        <w:t xml:space="preserve">thermal guard: 가용 battery/virtual 센서 60°C 관측 시 최대 15초 내 pause, 50°C 이하 및 macOS 경고 없음에서 resume</w:t>
      </w:r>
    </w:p>
    <w:p>
      <w:pPr>
        <w:pStyle w:val="Compact"/>
        <w:numPr>
          <w:ilvl w:val="0"/>
          <w:numId w:val="1003"/>
        </w:numPr>
      </w:pPr>
      <w:r>
        <w:t xml:space="preserve">CPU die 온도: 직접 측정하지 못함</w:t>
      </w:r>
    </w:p>
    <w:bookmarkEnd w:id="23"/>
    <w:bookmarkStart w:id="24" w:name="판정"/>
    <w:p>
      <w:pPr>
        <w:pStyle w:val="Heading2"/>
      </w:pPr>
      <w:r>
        <w:t xml:space="preserve">판정</w:t>
      </w:r>
    </w:p>
    <w:p>
      <w:pPr>
        <w:pStyle w:val="Compact"/>
        <w:numPr>
          <w:ilvl w:val="0"/>
          <w:numId w:val="1004"/>
        </w:numPr>
      </w:pPr>
      <w:r>
        <w:t xml:space="preserve">단일 체인:</w:t>
      </w:r>
      <w:r>
        <w:t xml:space="preserve"> </w:t>
      </w:r>
      <w:r>
        <w:rPr>
          <w:rStyle w:val="VerbatimChar"/>
        </w:rPr>
        <w:t xml:space="preserve">SCREEN_FAIL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SCREEN_EXTEND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SCREEN_STATIONARITY_PASS</w:t>
      </w:r>
    </w:p>
    <w:p>
      <w:pPr>
        <w:pStyle w:val="Compact"/>
        <w:numPr>
          <w:ilvl w:val="0"/>
          <w:numId w:val="1004"/>
        </w:numPr>
      </w:pPr>
      <w:r>
        <w:t xml:space="preserve">세 replica 1 ns:</w:t>
      </w:r>
      <w:r>
        <w:t xml:space="preserve"> </w:t>
      </w:r>
      <w:r>
        <w:rPr>
          <w:rStyle w:val="VerbatimChar"/>
        </w:rPr>
        <w:t xml:space="preserve">ONE_NS_REPLICA_UNIFORM_EXTENSION_REQUIRED</w:t>
      </w:r>
    </w:p>
    <w:p>
      <w:pPr>
        <w:pStyle w:val="Compact"/>
        <w:numPr>
          <w:ilvl w:val="0"/>
          <w:numId w:val="1004"/>
        </w:numPr>
      </w:pPr>
      <w:r>
        <w:t xml:space="preserve">equilibrium validated: false</w:t>
      </w:r>
    </w:p>
    <w:p>
      <w:pPr>
        <w:pStyle w:val="Compact"/>
        <w:numPr>
          <w:ilvl w:val="0"/>
          <w:numId w:val="1004"/>
        </w:numPr>
      </w:pPr>
      <w:r>
        <w:t xml:space="preserve">production ready: false</w:t>
      </w:r>
    </w:p>
    <w:bookmarkEnd w:id="24"/>
    <w:bookmarkStart w:id="25" w:name="핵심-source-artifact"/>
    <w:p>
      <w:pPr>
        <w:pStyle w:val="Heading2"/>
      </w:pPr>
      <w:r>
        <w:t xml:space="preserve">핵심 source artifact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08_Next_Research/02_Protocol/REPLICA_1NS_COMPARISON_RULES.md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08_Next_Research/05_QC/replica_input_audit_v3.json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08_Next_Research/05_QC/replica_1ns_comparison.json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08_Next_Research/05_QC/REPLICA_1NS_REPORT.md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08_Next_Research/04_Runs/chain_registry.csv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08_Next_Research/05_QC/equilibration_qc_results.csv</w:t>
      </w:r>
    </w:p>
    <w:bookmarkEnd w:id="25"/>
    <w:bookmarkEnd w:id="26"/>
    <w:bookmarkStart w:id="31" w:name="검증-한계와-보고서-표현-규칙"/>
    <w:p>
      <w:pPr>
        <w:pStyle w:val="Heading1"/>
      </w:pPr>
      <w:r>
        <w:t xml:space="preserve">검증 한계와 보고서 표현 규칙</w:t>
      </w:r>
    </w:p>
    <w:bookmarkStart w:id="27" w:name="not-verified-미검증"/>
    <w:p>
      <w:pPr>
        <w:pStyle w:val="Heading2"/>
      </w:pPr>
      <w:r>
        <w:t xml:space="preserve">Not verified / 미검증</w:t>
      </w:r>
    </w:p>
    <w:p>
      <w:pPr>
        <w:pStyle w:val="Compact"/>
        <w:numPr>
          <w:ilvl w:val="0"/>
          <w:numId w:val="1006"/>
        </w:numPr>
      </w:pPr>
      <w:r>
        <w:t xml:space="preserve">열역학적 평형</w:t>
      </w:r>
    </w:p>
    <w:p>
      <w:pPr>
        <w:pStyle w:val="Compact"/>
        <w:numPr>
          <w:ilvl w:val="0"/>
          <w:numId w:val="1006"/>
        </w:numPr>
      </w:pPr>
      <w:r>
        <w:t xml:space="preserve">production readiness</w:t>
      </w:r>
    </w:p>
    <w:p>
      <w:pPr>
        <w:pStyle w:val="Compact"/>
        <w:numPr>
          <w:ilvl w:val="0"/>
          <w:numId w:val="1006"/>
        </w:numPr>
      </w:pPr>
      <w:r>
        <w:t xml:space="preserve">0.75 전하 스케일의 물리 정확도</w:t>
      </w:r>
    </w:p>
    <w:p>
      <w:pPr>
        <w:pStyle w:val="Compact"/>
        <w:numPr>
          <w:ilvl w:val="0"/>
          <w:numId w:val="1006"/>
        </w:numPr>
      </w:pPr>
      <w:r>
        <w:t xml:space="preserve">조성별 승인 목표 밀도</w:t>
      </w:r>
    </w:p>
    <w:p>
      <w:pPr>
        <w:pStyle w:val="Compact"/>
        <w:numPr>
          <w:ilvl w:val="0"/>
          <w:numId w:val="1006"/>
        </w:numPr>
      </w:pPr>
      <w:r>
        <w:t xml:space="preserve">독립 R1·R2·R3 총 3 ns 결과</w:t>
      </w:r>
    </w:p>
    <w:p>
      <w:pPr>
        <w:pStyle w:val="Compact"/>
        <w:numPr>
          <w:ilvl w:val="0"/>
          <w:numId w:val="1006"/>
        </w:numPr>
      </w:pPr>
      <w:r>
        <w:t xml:space="preserve">RDF·coordination number의 장시간 수렴</w:t>
      </w:r>
    </w:p>
    <w:p>
      <w:pPr>
        <w:pStyle w:val="Compact"/>
        <w:numPr>
          <w:ilvl w:val="0"/>
          <w:numId w:val="1006"/>
        </w:numPr>
      </w:pPr>
      <w:r>
        <w:t xml:space="preserve">diffusion coefficient·전도도의 장시간 수렴</w:t>
      </w:r>
    </w:p>
    <w:p>
      <w:pPr>
        <w:pStyle w:val="Compact"/>
        <w:numPr>
          <w:ilvl w:val="0"/>
          <w:numId w:val="1006"/>
        </w:numPr>
      </w:pPr>
      <w:r>
        <w:t xml:space="preserve">연구실 Linux 서버 재현</w:t>
      </w:r>
    </w:p>
    <w:p>
      <w:pPr>
        <w:pStyle w:val="Compact"/>
        <w:numPr>
          <w:ilvl w:val="0"/>
          <w:numId w:val="1006"/>
        </w:numPr>
      </w:pPr>
      <w:r>
        <w:t xml:space="preserve">CPU die 온도</w:t>
      </w:r>
    </w:p>
    <w:bookmarkEnd w:id="27"/>
    <w:bookmarkStart w:id="28" w:name="보고서에서-사용하지-않을-표현"/>
    <w:p>
      <w:pPr>
        <w:pStyle w:val="Heading2"/>
      </w:pPr>
      <w:r>
        <w:t xml:space="preserve">보고서에서 사용하지 않을 표현</w:t>
      </w:r>
    </w:p>
    <w:p>
      <w:pPr>
        <w:pStyle w:val="Compact"/>
        <w:numPr>
          <w:ilvl w:val="0"/>
          <w:numId w:val="1007"/>
        </w:numPr>
      </w:pPr>
      <w:r>
        <w:t xml:space="preserve">“평형에 도달했다”</w:t>
      </w:r>
    </w:p>
    <w:p>
      <w:pPr>
        <w:pStyle w:val="Compact"/>
        <w:numPr>
          <w:ilvl w:val="0"/>
          <w:numId w:val="1007"/>
        </w:numPr>
      </w:pPr>
      <w:r>
        <w:t xml:space="preserve">“실제 밀도를 재현했다”</w:t>
      </w:r>
    </w:p>
    <w:p>
      <w:pPr>
        <w:pStyle w:val="Compact"/>
        <w:numPr>
          <w:ilvl w:val="0"/>
          <w:numId w:val="1007"/>
        </w:numPr>
      </w:pPr>
      <w:r>
        <w:t xml:space="preserve">“확산계수를 정확히 계산했다”</w:t>
      </w:r>
    </w:p>
    <w:p>
      <w:pPr>
        <w:pStyle w:val="Compact"/>
        <w:numPr>
          <w:ilvl w:val="0"/>
          <w:numId w:val="1007"/>
        </w:numPr>
      </w:pPr>
      <w:r>
        <w:t xml:space="preserve">“전도도가 향상됐다”</w:t>
      </w:r>
    </w:p>
    <w:p>
      <w:pPr>
        <w:pStyle w:val="Compact"/>
        <w:numPr>
          <w:ilvl w:val="0"/>
          <w:numId w:val="1007"/>
        </w:numPr>
      </w:pPr>
      <w:r>
        <w:t xml:space="preserve">“force field가 검증됐다”</w:t>
      </w:r>
    </w:p>
    <w:p>
      <w:pPr>
        <w:pStyle w:val="FirstParagraph"/>
      </w:pPr>
      <w:r>
        <w:t xml:space="preserve">위 문장은 해당 실제 검증이 추가되기 전에는 사용하지 않는다.</w:t>
      </w:r>
    </w:p>
    <w:bookmarkEnd w:id="28"/>
    <w:bookmarkStart w:id="29" w:name="허용되는-표현"/>
    <w:p>
      <w:pPr>
        <w:pStyle w:val="Heading2"/>
      </w:pPr>
      <w:r>
        <w:t xml:space="preserve">허용되는 표현</w:t>
      </w:r>
    </w:p>
    <w:p>
      <w:pPr>
        <w:pStyle w:val="Compact"/>
        <w:numPr>
          <w:ilvl w:val="0"/>
          <w:numId w:val="1008"/>
        </w:numPr>
      </w:pPr>
      <w:r>
        <w:t xml:space="preserve">“탐색적 1 ns NPT를 기술적으로 완료했다.”</w:t>
      </w:r>
    </w:p>
    <w:p>
      <w:pPr>
        <w:pStyle w:val="Compact"/>
        <w:numPr>
          <w:ilvl w:val="0"/>
          <w:numId w:val="1008"/>
        </w:numPr>
      </w:pPr>
      <w:r>
        <w:t xml:space="preserve">“마지막 500 ps 평균 밀도의 replica 간 spread는 0.1846%였다.”</w:t>
      </w:r>
    </w:p>
    <w:p>
      <w:pPr>
        <w:pStyle w:val="Compact"/>
        <w:numPr>
          <w:ilvl w:val="0"/>
          <w:numId w:val="1008"/>
        </w:numPr>
      </w:pPr>
      <w:r>
        <w:t xml:space="preserve">“세 replica 모두 사전 규칙에서</w:t>
      </w:r>
      <w:r>
        <w:t xml:space="preserve"> </w:t>
      </w:r>
      <w:r>
        <w:rPr>
          <w:rStyle w:val="VerbatimChar"/>
        </w:rPr>
        <w:t xml:space="preserve">SCREEN_EXTEND</w:t>
      </w:r>
      <w:r>
        <w:t xml:space="preserve">로 판정됐다.”</w:t>
      </w:r>
    </w:p>
    <w:p>
      <w:pPr>
        <w:pStyle w:val="Compact"/>
        <w:numPr>
          <w:ilvl w:val="0"/>
          <w:numId w:val="1008"/>
        </w:numPr>
      </w:pPr>
      <w:r>
        <w:t xml:space="preserve">“결과는 동일 길이 연장 필요성을 지지하지만 평형을 입증하지 않는다.”</w:t>
      </w:r>
    </w:p>
    <w:bookmarkEnd w:id="29"/>
    <w:bookmarkStart w:id="30" w:name="기존-50-ps-자료"/>
    <w:p>
      <w:pPr>
        <w:pStyle w:val="Heading2"/>
      </w:pPr>
      <w:r>
        <w:t xml:space="preserve">기존 50 ps 자료</w:t>
      </w:r>
    </w:p>
    <w:p>
      <w:pPr>
        <w:pStyle w:val="FirstParagraph"/>
      </w:pPr>
      <w:r>
        <w:t xml:space="preserve">2026-05-27에 만든 RDF·MSD·diffusion 그림은 분석 workflow 구현 증거다. 정량적인 최종 물성 비교나 실험 일치의 증거로 사용하지 않는다.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2026-08-07T02:11:05Z</dcterms:created>
  <dcterms:modified xsi:type="dcterms:W3CDTF">2026-08-07T02:11:05Z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