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7359C" w:rsidRDefault="0058561F" w:rsidP="00307A17">
      <w:pPr>
        <w:pStyle w:val="Title"/>
        <w:spacing w:line="276" w:lineRule="auto"/>
      </w:pPr>
      <w:r>
        <w:t xml:space="preserve">Evidence Brief </w:t>
      </w:r>
    </w:p>
    <w:p w:rsidR="00D7359C" w:rsidRDefault="0058561F" w:rsidP="00307A17">
      <w:pPr>
        <w:pStyle w:val="Heading1"/>
        <w:spacing w:line="276" w:lineRule="auto"/>
      </w:pPr>
      <w:r>
        <w:t>Paper Information</w:t>
      </w:r>
    </w:p>
    <w:p w:rsidR="00D7359C" w:rsidRDefault="0058561F" w:rsidP="00307A17">
      <w:pPr>
        <w:spacing w:line="276" w:lineRule="auto"/>
      </w:pPr>
      <w:r>
        <w:rPr>
          <w:b/>
          <w:bCs/>
        </w:rPr>
        <w:t>Title:</w:t>
      </w:r>
      <w:r w:rsidR="00174BD1">
        <w:rPr>
          <w:b/>
          <w:bCs/>
        </w:rPr>
        <w:t xml:space="preserve"> </w:t>
      </w:r>
      <w:r w:rsidR="00174BD1">
        <w:t>You get what you pay for: Schooling incentives and child labor</w:t>
      </w:r>
      <w:r>
        <w:t xml:space="preserve"> </w:t>
      </w:r>
    </w:p>
    <w:p w:rsidR="00D7359C" w:rsidRDefault="0058561F" w:rsidP="00307A17">
      <w:pPr>
        <w:spacing w:line="276" w:lineRule="auto"/>
      </w:pPr>
      <w:r>
        <w:rPr>
          <w:b/>
          <w:bCs/>
        </w:rPr>
        <w:t xml:space="preserve">Authors: </w:t>
      </w:r>
      <w:r w:rsidR="00174BD1">
        <w:t>Eric V. Edmonds and Maheshwor Shrestha</w:t>
      </w:r>
    </w:p>
    <w:p w:rsidR="00174BD1" w:rsidRDefault="0058561F" w:rsidP="00307A17">
      <w:pPr>
        <w:spacing w:line="276" w:lineRule="auto"/>
      </w:pPr>
      <w:r>
        <w:rPr>
          <w:b/>
          <w:bCs/>
        </w:rPr>
        <w:t xml:space="preserve">Journal/Source: </w:t>
      </w:r>
      <w:r w:rsidR="00174BD1">
        <w:t>Journal of Development Economics, Volume 111</w:t>
      </w:r>
    </w:p>
    <w:p w:rsidR="00D7359C" w:rsidRDefault="0058561F" w:rsidP="00307A17">
      <w:pPr>
        <w:spacing w:line="276" w:lineRule="auto"/>
      </w:pPr>
      <w:r>
        <w:rPr>
          <w:b/>
          <w:bCs/>
        </w:rPr>
        <w:t xml:space="preserve">Year: </w:t>
      </w:r>
      <w:r w:rsidR="00174BD1">
        <w:t>2014</w:t>
      </w:r>
      <w:r>
        <w:t xml:space="preserve"> </w:t>
      </w:r>
    </w:p>
    <w:p w:rsidR="00D7359C" w:rsidRDefault="0058561F" w:rsidP="00307A17">
      <w:pPr>
        <w:spacing w:line="276" w:lineRule="auto"/>
      </w:pPr>
      <w:r>
        <w:rPr>
          <w:b/>
          <w:bCs/>
        </w:rPr>
        <w:t xml:space="preserve">DOI/Link: </w:t>
      </w:r>
      <w:hyperlink r:id="rId7" w:history="1">
        <w:r w:rsidR="00174BD1" w:rsidRPr="00C756E8">
          <w:rPr>
            <w:rStyle w:val="Hyperlink"/>
          </w:rPr>
          <w:t>http://dx.doi.org/10.101</w:t>
        </w:r>
        <w:r w:rsidR="00174BD1" w:rsidRPr="00C756E8">
          <w:rPr>
            <w:rStyle w:val="Hyperlink"/>
          </w:rPr>
          <w:t>6</w:t>
        </w:r>
        <w:r w:rsidR="00174BD1" w:rsidRPr="00C756E8">
          <w:rPr>
            <w:rStyle w:val="Hyperlink"/>
          </w:rPr>
          <w:t>/j.jdeveco.2014.09.005</w:t>
        </w:r>
      </w:hyperlink>
      <w:r>
        <w:t xml:space="preserve"> </w:t>
      </w:r>
    </w:p>
    <w:p w:rsidR="00D7359C" w:rsidRDefault="0058561F" w:rsidP="00307A17">
      <w:pPr>
        <w:pStyle w:val="Heading1"/>
        <w:spacing w:line="276" w:lineRule="auto"/>
      </w:pPr>
      <w:r>
        <w:t>The Bottom Line</w:t>
      </w:r>
    </w:p>
    <w:p w:rsidR="00354425" w:rsidRDefault="00354425" w:rsidP="00307A17">
      <w:pPr>
        <w:pBdr>
          <w:top w:val="nil"/>
          <w:left w:val="nil"/>
          <w:bottom w:val="nil"/>
          <w:right w:val="nil"/>
          <w:between w:val="nil"/>
        </w:pBdr>
        <w:spacing w:before="60" w:after="60" w:line="276" w:lineRule="auto"/>
        <w:rPr>
          <w:i/>
          <w:iCs/>
          <w:color w:val="7F8C8D"/>
          <w:sz w:val="20"/>
          <w:szCs w:val="20"/>
        </w:rPr>
      </w:pPr>
    </w:p>
    <w:p w:rsidR="00354425" w:rsidRDefault="00354425" w:rsidP="00307A17">
      <w:pPr>
        <w:spacing w:line="276" w:lineRule="auto"/>
      </w:pPr>
      <w:r w:rsidRPr="00354425">
        <w:t xml:space="preserve">Conditional cash transfers that compensate for foregone child labor earnings can effectively reduce hazardous child labor and increase school attendance while payments last, but effects disappear completely within 16 months after support ends. </w:t>
      </w:r>
      <w:r w:rsidR="00AD189A">
        <w:t xml:space="preserve">In the short run, </w:t>
      </w:r>
      <w:r w:rsidRPr="00354425">
        <w:t>Simply covering school expenses is not enough—you</w:t>
      </w:r>
      <w:r w:rsidR="00174BD1">
        <w:t xml:space="preserve"> only</w:t>
      </w:r>
      <w:r w:rsidRPr="00354425">
        <w:t xml:space="preserve"> get what you pay for</w:t>
      </w:r>
      <w:r w:rsidR="00174BD1">
        <w:t xml:space="preserve">. </w:t>
      </w:r>
    </w:p>
    <w:p w:rsidR="00174BD1" w:rsidRDefault="00174BD1" w:rsidP="00307A17">
      <w:pPr>
        <w:spacing w:line="276" w:lineRule="auto"/>
      </w:pPr>
    </w:p>
    <w:p w:rsidR="00D7359C" w:rsidRDefault="0058561F" w:rsidP="00307A17">
      <w:pPr>
        <w:pStyle w:val="Heading1"/>
        <w:spacing w:line="276" w:lineRule="auto"/>
      </w:pPr>
      <w:r>
        <w:t>1. Why This Paper?</w:t>
      </w:r>
    </w:p>
    <w:p w:rsidR="00D7359C" w:rsidRDefault="00D7359C" w:rsidP="00307A17">
      <w:pPr>
        <w:spacing w:line="276" w:lineRule="auto"/>
      </w:pPr>
    </w:p>
    <w:p w:rsidR="00174BD1" w:rsidRDefault="00174BD1" w:rsidP="00307A17">
      <w:pPr>
        <w:spacing w:before="120" w:after="120" w:line="276" w:lineRule="auto"/>
      </w:pPr>
      <w:r>
        <w:t>This paper addresses a critical policy question: Can schooling incentives actually deter children from hazardous forms of child labor? While 85 million children worldwide work in hazardous conditions, and education promotion has been the centerpiece of global anti-child labor policy since 2001, surprisingly little rigorous evidence existed on whether schooling incentives work for this specific population.</w:t>
      </w:r>
    </w:p>
    <w:p w:rsidR="00174BD1" w:rsidRDefault="00174BD1" w:rsidP="00307A17">
      <w:pPr>
        <w:spacing w:before="120" w:after="120" w:line="276" w:lineRule="auto"/>
      </w:pPr>
      <w:r>
        <w:t>This matters enormously for development policy. Governments and donors spend hundreds of millions annually on interventions aimed at reducing child labor through education support. The U.S. Department of Labor alone has appropriated $800 million to 258 projects in 91 countries since 1995. Most of this funding is transitory--projects last 3-5 year--however policymakers have assumed temporary support would have permanent effects.</w:t>
      </w:r>
    </w:p>
    <w:p w:rsidR="00D7359C" w:rsidRDefault="00174BD1" w:rsidP="00307A17">
      <w:pPr>
        <w:spacing w:before="120" w:after="120" w:line="276" w:lineRule="auto"/>
      </w:pPr>
      <w:r>
        <w:t>The study fills a crucial evidence gap by being the first randomized controlled trial specifically targeting hazardous child labor (carpet weaving in Nepal). It tests whether hazardous child labor responds to changes in schooling returns differently than common forms of work, and critically, whether transitory support has lasting effects. The 16-month follow-up after program end is rigorous and</w:t>
      </w:r>
      <w:r w:rsidR="00354425">
        <w:t xml:space="preserve"> reveals that while conditional stipends can reduce hazardous weaving by 48% during the year of support, these benefits are transitory and do not persist once the project funding ends</w:t>
      </w:r>
    </w:p>
    <w:p w:rsidR="00174BD1" w:rsidRDefault="00174BD1" w:rsidP="00307A17">
      <w:pPr>
        <w:spacing w:line="276" w:lineRule="auto"/>
        <w:rPr>
          <w:b/>
          <w:bCs/>
          <w:color w:val="1B4F72"/>
          <w:sz w:val="28"/>
          <w:szCs w:val="28"/>
        </w:rPr>
      </w:pPr>
      <w:r>
        <w:br w:type="page"/>
      </w:r>
    </w:p>
    <w:p w:rsidR="00D7359C" w:rsidRDefault="0058561F" w:rsidP="00307A17">
      <w:pPr>
        <w:pStyle w:val="Heading1"/>
        <w:spacing w:line="276" w:lineRule="auto"/>
      </w:pPr>
      <w:r>
        <w:lastRenderedPageBreak/>
        <w:t>2. Context &amp; Setting</w:t>
      </w:r>
    </w:p>
    <w:p w:rsidR="00354425" w:rsidRDefault="00354425" w:rsidP="00307A17">
      <w:pPr>
        <w:pBdr>
          <w:top w:val="nil"/>
          <w:left w:val="nil"/>
          <w:bottom w:val="nil"/>
          <w:right w:val="nil"/>
          <w:between w:val="nil"/>
        </w:pBdr>
        <w:spacing w:before="60" w:after="60" w:line="276" w:lineRule="auto"/>
        <w:rPr>
          <w:i/>
          <w:iCs/>
          <w:color w:val="7F8C8D"/>
          <w:sz w:val="20"/>
          <w:szCs w:val="20"/>
        </w:rPr>
      </w:pPr>
    </w:p>
    <w:p w:rsidR="00D7359C" w:rsidRDefault="00D7359C" w:rsidP="00307A17">
      <w:pPr>
        <w:spacing w:line="276" w:lineRule="auto"/>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D7359C">
        <w:tc>
          <w:tcPr>
            <w:tcW w:w="3000" w:type="dxa"/>
            <w:tcBorders>
              <w:top w:val="single" w:sz="4" w:space="0" w:color="CCCCCC"/>
              <w:left w:val="single" w:sz="4" w:space="0" w:color="CCCCCC"/>
              <w:bottom w:val="single" w:sz="4" w:space="0" w:color="CCCCCC"/>
              <w:right w:val="single" w:sz="4" w:space="0" w:color="CCCCCC"/>
            </w:tcBorders>
            <w:shd w:val="clear" w:color="auto" w:fill="E8F4F8"/>
          </w:tcPr>
          <w:p w:rsidR="00D7359C" w:rsidRDefault="0058561F" w:rsidP="00307A17">
            <w:pPr>
              <w:spacing w:line="276" w:lineRule="auto"/>
            </w:pPr>
            <w:r>
              <w:rPr>
                <w:b/>
                <w:bCs/>
              </w:rPr>
              <w:t>Element</w:t>
            </w:r>
          </w:p>
        </w:tc>
        <w:tc>
          <w:tcPr>
            <w:tcW w:w="6360" w:type="dxa"/>
            <w:tcBorders>
              <w:top w:val="single" w:sz="4" w:space="0" w:color="CCCCCC"/>
              <w:left w:val="single" w:sz="4" w:space="0" w:color="CCCCCC"/>
              <w:bottom w:val="single" w:sz="4" w:space="0" w:color="CCCCCC"/>
              <w:right w:val="single" w:sz="4" w:space="0" w:color="CCCCCC"/>
            </w:tcBorders>
            <w:shd w:val="clear" w:color="auto" w:fill="E8F4F8"/>
          </w:tcPr>
          <w:p w:rsidR="00D7359C" w:rsidRDefault="0058561F" w:rsidP="00307A17">
            <w:pPr>
              <w:spacing w:line="276" w:lineRule="auto"/>
            </w:pPr>
            <w:r>
              <w:rPr>
                <w:b/>
                <w:bCs/>
              </w:rPr>
              <w:t>Details</w:t>
            </w:r>
          </w:p>
        </w:tc>
      </w:tr>
      <w:tr w:rsidR="00354425">
        <w:tc>
          <w:tcPr>
            <w:tcW w:w="300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Country/Region</w:t>
            </w:r>
          </w:p>
        </w:tc>
        <w:tc>
          <w:tcPr>
            <w:tcW w:w="636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Kathmandu Valley, Nepal</w:t>
            </w:r>
          </w:p>
        </w:tc>
      </w:tr>
      <w:tr w:rsidR="00354425">
        <w:tc>
          <w:tcPr>
            <w:tcW w:w="300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Time Period</w:t>
            </w:r>
          </w:p>
        </w:tc>
        <w:tc>
          <w:tcPr>
            <w:tcW w:w="636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February 2010 - August 2012 (intervention: April 2010 - March 2011)</w:t>
            </w:r>
          </w:p>
        </w:tc>
      </w:tr>
      <w:tr w:rsidR="00354425">
        <w:tc>
          <w:tcPr>
            <w:tcW w:w="300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Sample Size</w:t>
            </w:r>
          </w:p>
        </w:tc>
        <w:tc>
          <w:tcPr>
            <w:tcW w:w="636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660 children aged 10-16</w:t>
            </w:r>
          </w:p>
        </w:tc>
      </w:tr>
      <w:tr w:rsidR="00354425">
        <w:tc>
          <w:tcPr>
            <w:tcW w:w="300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Population Studied</w:t>
            </w:r>
          </w:p>
        </w:tc>
        <w:tc>
          <w:tcPr>
            <w:tcW w:w="636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Children of carpet factory workers, vulnerable to child labor based on family size (3+ school-age children), low income (≤NPR 8,500/month or ~USD 119), or limited sibling schooling</w:t>
            </w:r>
          </w:p>
        </w:tc>
      </w:tr>
      <w:tr w:rsidR="00354425">
        <w:tc>
          <w:tcPr>
            <w:tcW w:w="300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Policy/Program Evaluated</w:t>
            </w:r>
          </w:p>
        </w:tc>
        <w:tc>
          <w:tcPr>
            <w:tcW w:w="636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Two interventions: (1) Scholarship covering school expenses up to NPR 3,950/year; (2) Scholarship plus monthly food stipend of NPR 1,000 conditional on 80% school attendance</w:t>
            </w:r>
          </w:p>
        </w:tc>
      </w:tr>
      <w:tr w:rsidR="00354425">
        <w:tc>
          <w:tcPr>
            <w:tcW w:w="300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Data Source(s)</w:t>
            </w:r>
          </w:p>
        </w:tc>
        <w:tc>
          <w:tcPr>
            <w:tcW w:w="6360" w:type="dxa"/>
            <w:tcBorders>
              <w:top w:val="single" w:sz="4" w:space="0" w:color="CCCCCC"/>
              <w:left w:val="single" w:sz="4" w:space="0" w:color="CCCCCC"/>
              <w:bottom w:val="single" w:sz="4" w:space="0" w:color="CCCCCC"/>
              <w:right w:val="single" w:sz="4" w:space="0" w:color="CCCCCC"/>
            </w:tcBorders>
          </w:tcPr>
          <w:p w:rsidR="00354425" w:rsidRDefault="00354425" w:rsidP="00307A17">
            <w:pPr>
              <w:spacing w:before="120" w:after="120" w:line="276" w:lineRule="auto"/>
            </w:pPr>
            <w:r>
              <w:t>Administrative school attendance records, household surveys (baseline, midterm, year-end, 16-month follow-up), Nepal Living Standards Survey III</w:t>
            </w:r>
          </w:p>
        </w:tc>
      </w:tr>
    </w:tbl>
    <w:p w:rsidR="00D7359C" w:rsidRDefault="00D7359C" w:rsidP="00307A17">
      <w:pPr>
        <w:spacing w:line="276" w:lineRule="auto"/>
      </w:pPr>
    </w:p>
    <w:p w:rsidR="00174BD1" w:rsidRDefault="00174BD1" w:rsidP="00307A17">
      <w:pPr>
        <w:spacing w:before="120" w:after="120" w:line="276" w:lineRule="auto"/>
      </w:pPr>
      <w:r>
        <w:t>The study was implemented by Nepal GoodWeave Foundation (NGF), an NGO that certifies carpets as child-labor-free. Carpet weaving is classified as hazardous child labor under Nepal's 1999 Child Labor Prohibition and Regulation Act and prohibited for children under 16. The carpet sector employed an estimated 10,907 children out of 49,538 total workers at the time. The intervention was funded by the U.S. Department of Labor as a pilot for using rigorous impact evaluation to improve child labor policy. Study subjects were children of workers in NGF-licensed carpet establishments, with 98% enrolled in school at baseline but vulnerable to dropout. About 59% lived within establishment premises, and two-thirds were migrants from rural areas.</w:t>
      </w:r>
    </w:p>
    <w:p w:rsidR="00D7359C" w:rsidRDefault="0058561F" w:rsidP="00307A17">
      <w:pPr>
        <w:pStyle w:val="Heading1"/>
        <w:spacing w:line="276" w:lineRule="auto"/>
      </w:pPr>
      <w:r>
        <w:t>3. Causal Methodology</w:t>
      </w:r>
    </w:p>
    <w:p w:rsidR="00D7359C" w:rsidRDefault="00D7359C" w:rsidP="00307A17">
      <w:pPr>
        <w:spacing w:line="276" w:lineRule="auto"/>
      </w:pPr>
    </w:p>
    <w:p w:rsidR="00D7359C" w:rsidRDefault="0058561F" w:rsidP="00307A17">
      <w:pPr>
        <w:spacing w:line="276" w:lineRule="auto"/>
      </w:pPr>
      <w:r>
        <w:rPr>
          <w:b/>
          <w:bCs/>
        </w:rPr>
        <w:t xml:space="preserve">Design: </w:t>
      </w:r>
      <w:r w:rsidR="00174BD1">
        <w:t>Randomized Controlled Trial (</w:t>
      </w:r>
      <w:r>
        <w:t>RCT</w:t>
      </w:r>
      <w:r w:rsidR="00174BD1">
        <w:t>)</w:t>
      </w:r>
      <w:r>
        <w:t xml:space="preserve"> </w:t>
      </w:r>
    </w:p>
    <w:p w:rsidR="00D7359C" w:rsidRDefault="00D7359C" w:rsidP="00307A17">
      <w:pPr>
        <w:spacing w:line="276" w:lineRule="auto"/>
      </w:pPr>
    </w:p>
    <w:p w:rsidR="009B6872" w:rsidRDefault="0058561F" w:rsidP="00307A17">
      <w:pPr>
        <w:pStyle w:val="Heading2"/>
        <w:spacing w:line="276" w:lineRule="auto"/>
      </w:pPr>
      <w:r>
        <w:t>The Core Idea</w:t>
      </w:r>
    </w:p>
    <w:p w:rsidR="00174BD1" w:rsidRPr="00174BD1" w:rsidRDefault="00174BD1" w:rsidP="00307A17">
      <w:pPr>
        <w:spacing w:line="276" w:lineRule="auto"/>
      </w:pPr>
    </w:p>
    <w:p w:rsidR="009B6872" w:rsidRDefault="009B6872" w:rsidP="00CF0123">
      <w:pPr>
        <w:spacing w:before="120" w:after="120" w:line="276" w:lineRule="auto"/>
      </w:pPr>
      <w:r>
        <w:t xml:space="preserve">Children were randomly assigned through a lottery to one of three groups: a control group receiving no support, a scholarship group receiving reimbursement for school expenses, or a stipend group receiving the scholarship plus monthly food credits conditional on attending school 80% of days. Because assignment was random and conducted within age-gender-establishment size groups, any differences in outcomes between groups can be attributed to </w:t>
      </w:r>
      <w:r>
        <w:lastRenderedPageBreak/>
        <w:t>the interventions themselves</w:t>
      </w:r>
      <w:r w:rsidR="003C1F2F">
        <w:t xml:space="preserve"> and </w:t>
      </w:r>
      <w:r>
        <w:t>not to pre-existing differences between families who choose to participate versus those who don't.</w:t>
      </w:r>
    </w:p>
    <w:p w:rsidR="00D7359C" w:rsidRDefault="00D7359C" w:rsidP="00307A17">
      <w:pPr>
        <w:spacing w:line="276" w:lineRule="auto"/>
      </w:pPr>
    </w:p>
    <w:p w:rsidR="00D7359C" w:rsidRDefault="0058561F" w:rsidP="00307A17">
      <w:pPr>
        <w:pStyle w:val="Heading2"/>
        <w:spacing w:line="276" w:lineRule="auto"/>
      </w:pPr>
      <w:r>
        <w:t>Key Assumptions</w:t>
      </w:r>
    </w:p>
    <w:p w:rsidR="00D7359C" w:rsidRDefault="00D7359C" w:rsidP="00307A17">
      <w:pPr>
        <w:spacing w:line="276" w:lineRule="auto"/>
      </w:pPr>
    </w:p>
    <w:p w:rsidR="003C1F2F" w:rsidRDefault="009B6872" w:rsidP="00307A17">
      <w:pPr>
        <w:spacing w:line="276" w:lineRule="auto"/>
      </w:pPr>
      <w:r w:rsidRPr="009B6872">
        <w:t xml:space="preserve">For the causal claim to hold, the randomisation must have successfully balanced the groups at the start of the study so that they were statistically identical in all ways except for the treatment received. </w:t>
      </w:r>
    </w:p>
    <w:p w:rsidR="003C1F2F" w:rsidRDefault="003C1F2F" w:rsidP="00307A17">
      <w:pPr>
        <w:spacing w:line="276" w:lineRule="auto"/>
      </w:pPr>
    </w:p>
    <w:p w:rsidR="009B6872" w:rsidRDefault="009B6872" w:rsidP="00307A17">
      <w:pPr>
        <w:spacing w:line="276" w:lineRule="auto"/>
      </w:pPr>
      <w:r w:rsidRPr="009B6872">
        <w:t>It also assumes an absence of significant spillovers, meaning that the support given to one child did not indirectly change the schooling or work behaviour of other children in the same household or factory who were in the control group.</w:t>
      </w:r>
    </w:p>
    <w:p w:rsidR="009B6872" w:rsidRDefault="0058561F" w:rsidP="00CF0123">
      <w:pPr>
        <w:pStyle w:val="Heading2"/>
        <w:spacing w:line="276" w:lineRule="auto"/>
      </w:pPr>
      <w:r>
        <w:t>Robustness</w:t>
      </w:r>
    </w:p>
    <w:p w:rsidR="003C1F2F" w:rsidRPr="003C1F2F" w:rsidRDefault="003C1F2F" w:rsidP="00307A17">
      <w:pPr>
        <w:pStyle w:val="Heading1"/>
        <w:spacing w:line="276" w:lineRule="auto"/>
        <w:rPr>
          <w:b w:val="0"/>
          <w:bCs w:val="0"/>
          <w:color w:val="auto"/>
          <w:sz w:val="22"/>
          <w:szCs w:val="22"/>
        </w:rPr>
      </w:pPr>
      <w:r w:rsidRPr="003C1F2F">
        <w:rPr>
          <w:b w:val="0"/>
          <w:bCs w:val="0"/>
          <w:color w:val="auto"/>
          <w:sz w:val="22"/>
          <w:szCs w:val="22"/>
        </w:rPr>
        <w:t>The authors conducted extensive robustness checks:</w:t>
      </w:r>
    </w:p>
    <w:p w:rsidR="006E6E73" w:rsidRDefault="003C1F2F" w:rsidP="006E6E73">
      <w:pPr>
        <w:pStyle w:val="Heading1"/>
        <w:numPr>
          <w:ilvl w:val="0"/>
          <w:numId w:val="13"/>
        </w:numPr>
        <w:rPr>
          <w:b w:val="0"/>
          <w:bCs w:val="0"/>
          <w:color w:val="auto"/>
          <w:sz w:val="22"/>
          <w:szCs w:val="22"/>
        </w:rPr>
      </w:pPr>
      <w:r w:rsidRPr="003C1F2F">
        <w:rPr>
          <w:b w:val="0"/>
          <w:bCs w:val="0"/>
          <w:color w:val="auto"/>
          <w:sz w:val="22"/>
          <w:szCs w:val="22"/>
        </w:rPr>
        <w:t>Balance tests: Joint F-tests confirmed no significant differences across 12 baseline characteristics for all treatment comparisons (p-values 0.916, 0.998, 0.990).</w:t>
      </w:r>
    </w:p>
    <w:p w:rsidR="003C1F2F" w:rsidRPr="003C1F2F" w:rsidRDefault="003C1F2F" w:rsidP="006E6E73">
      <w:pPr>
        <w:pStyle w:val="Heading1"/>
        <w:numPr>
          <w:ilvl w:val="0"/>
          <w:numId w:val="13"/>
        </w:numPr>
        <w:rPr>
          <w:b w:val="0"/>
          <w:bCs w:val="0"/>
          <w:color w:val="auto"/>
          <w:sz w:val="22"/>
          <w:szCs w:val="22"/>
        </w:rPr>
      </w:pPr>
      <w:r w:rsidRPr="003C1F2F">
        <w:rPr>
          <w:b w:val="0"/>
          <w:bCs w:val="0"/>
          <w:color w:val="auto"/>
          <w:sz w:val="22"/>
          <w:szCs w:val="22"/>
        </w:rPr>
        <w:t>Attrition analysis: Tested whether survey completion varied by treatment; found no significant differences except midterm survey (which wasn't used in analysis).</w:t>
      </w:r>
    </w:p>
    <w:p w:rsidR="003C1F2F" w:rsidRPr="003C1F2F" w:rsidRDefault="003C1F2F" w:rsidP="006E6E73">
      <w:pPr>
        <w:pStyle w:val="Heading1"/>
        <w:numPr>
          <w:ilvl w:val="0"/>
          <w:numId w:val="13"/>
        </w:numPr>
        <w:rPr>
          <w:b w:val="0"/>
          <w:bCs w:val="0"/>
          <w:color w:val="auto"/>
          <w:sz w:val="22"/>
          <w:szCs w:val="22"/>
        </w:rPr>
      </w:pPr>
      <w:r w:rsidRPr="003C1F2F">
        <w:rPr>
          <w:b w:val="0"/>
          <w:bCs w:val="0"/>
          <w:color w:val="auto"/>
          <w:sz w:val="22"/>
          <w:szCs w:val="22"/>
        </w:rPr>
        <w:t>Multiple data sources: Results held using both administrative school records and parental reports of schooling.</w:t>
      </w:r>
    </w:p>
    <w:p w:rsidR="003C1F2F" w:rsidRPr="003C1F2F" w:rsidRDefault="003C1F2F" w:rsidP="006E6E73">
      <w:pPr>
        <w:pStyle w:val="Heading1"/>
        <w:numPr>
          <w:ilvl w:val="0"/>
          <w:numId w:val="13"/>
        </w:numPr>
        <w:rPr>
          <w:b w:val="0"/>
          <w:bCs w:val="0"/>
          <w:color w:val="auto"/>
          <w:sz w:val="22"/>
          <w:szCs w:val="22"/>
        </w:rPr>
      </w:pPr>
      <w:r w:rsidRPr="003C1F2F">
        <w:rPr>
          <w:b w:val="0"/>
          <w:bCs w:val="0"/>
          <w:color w:val="auto"/>
          <w:sz w:val="22"/>
          <w:szCs w:val="22"/>
        </w:rPr>
        <w:t>Gender heterogeneity: Analyzed effects separately for boys and girls; effects larger for girls but pattern consistent.</w:t>
      </w:r>
    </w:p>
    <w:p w:rsidR="003C1F2F" w:rsidRPr="003C1F2F" w:rsidRDefault="003C1F2F" w:rsidP="006E6E73">
      <w:pPr>
        <w:pStyle w:val="Heading1"/>
        <w:numPr>
          <w:ilvl w:val="0"/>
          <w:numId w:val="13"/>
        </w:numPr>
        <w:rPr>
          <w:b w:val="0"/>
          <w:bCs w:val="0"/>
          <w:color w:val="auto"/>
          <w:sz w:val="22"/>
          <w:szCs w:val="22"/>
        </w:rPr>
      </w:pPr>
      <w:r w:rsidRPr="003C1F2F">
        <w:rPr>
          <w:b w:val="0"/>
          <w:bCs w:val="0"/>
          <w:color w:val="auto"/>
          <w:sz w:val="22"/>
          <w:szCs w:val="22"/>
        </w:rPr>
        <w:t>Spillover tests: Examined whether control children in families with treated siblings differed from other controls; found no evidence of spillovers.</w:t>
      </w:r>
    </w:p>
    <w:p w:rsidR="00CF0123" w:rsidRDefault="003C1F2F" w:rsidP="00307A17">
      <w:pPr>
        <w:pStyle w:val="Heading1"/>
        <w:spacing w:line="276" w:lineRule="auto"/>
        <w:rPr>
          <w:b w:val="0"/>
          <w:bCs w:val="0"/>
          <w:color w:val="auto"/>
          <w:sz w:val="22"/>
          <w:szCs w:val="22"/>
        </w:rPr>
      </w:pPr>
      <w:r w:rsidRPr="003C1F2F">
        <w:rPr>
          <w:b w:val="0"/>
          <w:bCs w:val="0"/>
          <w:color w:val="auto"/>
          <w:sz w:val="22"/>
          <w:szCs w:val="22"/>
        </w:rPr>
        <w:t>Results were robust across all specifications. The main findings held consistently</w:t>
      </w:r>
    </w:p>
    <w:p w:rsidR="00D7359C" w:rsidRDefault="0058561F" w:rsidP="00307A17">
      <w:pPr>
        <w:pStyle w:val="Heading1"/>
        <w:spacing w:line="276" w:lineRule="auto"/>
      </w:pPr>
      <w:r>
        <w:t>4. Important Results</w:t>
      </w:r>
    </w:p>
    <w:p w:rsidR="009B6872" w:rsidRDefault="009B6872" w:rsidP="00307A17">
      <w:pPr>
        <w:pStyle w:val="Heading2"/>
        <w:spacing w:line="276" w:lineRule="auto"/>
      </w:pPr>
      <w:r>
        <w:t xml:space="preserve">Finding 1: </w:t>
      </w:r>
    </w:p>
    <w:p w:rsidR="006E6E73" w:rsidRPr="006E6E73" w:rsidRDefault="006E6E73" w:rsidP="006E6E73"/>
    <w:p w:rsidR="009B6872" w:rsidRDefault="009B6872" w:rsidP="00307A17">
      <w:pPr>
        <w:pStyle w:val="ListParagraph"/>
        <w:numPr>
          <w:ilvl w:val="0"/>
          <w:numId w:val="3"/>
        </w:numPr>
        <w:spacing w:before="120" w:after="80" w:line="276" w:lineRule="auto"/>
      </w:pPr>
      <w:r>
        <w:t xml:space="preserve">The stipend intervention (scholarship plus conditional food credit) increased school attendance by 11 percentage points during the year of support and </w:t>
      </w:r>
      <w:r w:rsidRPr="00951A67">
        <w:t>were 46% less likely to fail their grade</w:t>
      </w:r>
      <w:r>
        <w:t>.</w:t>
      </w:r>
    </w:p>
    <w:p w:rsidR="009B6872" w:rsidRDefault="009B6872" w:rsidP="00307A17">
      <w:pPr>
        <w:pStyle w:val="ListParagraph"/>
        <w:numPr>
          <w:ilvl w:val="0"/>
          <w:numId w:val="3"/>
        </w:numPr>
        <w:spacing w:before="80" w:after="80" w:line="276" w:lineRule="auto"/>
      </w:pPr>
      <w:r>
        <w:t xml:space="preserve">Control children attended school 81% of days. Stipend children attended 90% of days—an increase from 4 out of 5 days to 9 out of 10 days. The stipend also </w:t>
      </w:r>
      <w:r>
        <w:lastRenderedPageBreak/>
        <w:t>increased the probability of sitting for final exams by 10 percentage points (from 87% to 97%).</w:t>
      </w:r>
    </w:p>
    <w:p w:rsidR="009B6872" w:rsidRDefault="009B6872" w:rsidP="00307A17">
      <w:pPr>
        <w:pStyle w:val="ListParagraph"/>
        <w:numPr>
          <w:ilvl w:val="0"/>
          <w:numId w:val="3"/>
        </w:numPr>
        <w:spacing w:before="80" w:after="80" w:line="276" w:lineRule="auto"/>
      </w:pPr>
      <w:r>
        <w:t>Results highly statistically significant (p&lt;0.01). The 95% confidence interval for the attendance effect is approximately 4.5 to 13.7 percentage points.</w:t>
      </w:r>
    </w:p>
    <w:p w:rsidR="003C1F2F" w:rsidRDefault="009B6872" w:rsidP="00307A17">
      <w:pPr>
        <w:pStyle w:val="ListParagraph"/>
        <w:numPr>
          <w:ilvl w:val="0"/>
          <w:numId w:val="3"/>
        </w:numPr>
        <w:spacing w:before="80" w:after="120" w:line="276" w:lineRule="auto"/>
      </w:pPr>
      <w:r w:rsidRPr="00951A67">
        <w:t>The effect is substantial, as it halves the rate of grade failure and ensures children are present for roughly 90% of school days compared to 81% in the control group</w:t>
      </w:r>
    </w:p>
    <w:p w:rsidR="00CF0123" w:rsidRDefault="00CF0123" w:rsidP="00307A17">
      <w:pPr>
        <w:pStyle w:val="ListParagraph"/>
        <w:numPr>
          <w:ilvl w:val="0"/>
          <w:numId w:val="3"/>
        </w:numPr>
        <w:spacing w:before="80" w:after="120" w:line="276" w:lineRule="auto"/>
      </w:pPr>
    </w:p>
    <w:p w:rsidR="009B6872" w:rsidRDefault="009B6872" w:rsidP="00307A17">
      <w:pPr>
        <w:pStyle w:val="Heading2"/>
        <w:spacing w:line="276" w:lineRule="auto"/>
      </w:pPr>
      <w:r>
        <w:t xml:space="preserve">Finding 2: </w:t>
      </w:r>
    </w:p>
    <w:p w:rsidR="006E6E73" w:rsidRPr="006E6E73" w:rsidRDefault="006E6E73" w:rsidP="006E6E73"/>
    <w:p w:rsidR="009B6872" w:rsidRDefault="009B6872" w:rsidP="00307A17">
      <w:pPr>
        <w:pStyle w:val="ListParagraph"/>
        <w:numPr>
          <w:ilvl w:val="0"/>
          <w:numId w:val="4"/>
        </w:numPr>
        <w:spacing w:before="120" w:after="80" w:line="276" w:lineRule="auto"/>
      </w:pPr>
      <w:r>
        <w:t>The stipend reduced hazardous child labor (carpet weaving) by 48% during the year of support.</w:t>
      </w:r>
    </w:p>
    <w:p w:rsidR="009B6872" w:rsidRDefault="009B6872" w:rsidP="00307A17">
      <w:pPr>
        <w:pStyle w:val="ListParagraph"/>
        <w:numPr>
          <w:ilvl w:val="0"/>
          <w:numId w:val="4"/>
        </w:numPr>
        <w:spacing w:before="80" w:after="80" w:line="276" w:lineRule="auto"/>
      </w:pPr>
      <w:r>
        <w:t>Among controls, 11.4% of children worked as carpet weavers during the year of support. The stipend reduced this to 6%—a decline of 5.5 percentage points. For girls specifically, the reduction was 64% (from 16% to 6%).</w:t>
      </w:r>
    </w:p>
    <w:p w:rsidR="009B6872" w:rsidRDefault="009B6872" w:rsidP="00307A17">
      <w:pPr>
        <w:pStyle w:val="ListParagraph"/>
        <w:numPr>
          <w:ilvl w:val="0"/>
          <w:numId w:val="4"/>
        </w:numPr>
        <w:spacing w:before="80" w:after="80" w:line="276" w:lineRule="auto"/>
      </w:pPr>
      <w:r>
        <w:t>Statistically significant at the 5% level (p&lt;0.05). The scholarship-stipend difference is significant at the 10% level.</w:t>
      </w:r>
    </w:p>
    <w:p w:rsidR="009B6872" w:rsidRDefault="009B6872" w:rsidP="00307A17">
      <w:pPr>
        <w:pStyle w:val="ListParagraph"/>
        <w:numPr>
          <w:ilvl w:val="0"/>
          <w:numId w:val="4"/>
        </w:numPr>
        <w:spacing w:before="80" w:after="120" w:line="276" w:lineRule="auto"/>
      </w:pPr>
      <w:r>
        <w:t>This is highly meaningful. The magnitude of reduction in weaving (5.5 percentage points) is comparable to the increase in school attendance (4.9 percentage points), suggesting genuine substitution between hazardous work and schooling. This challenges previous literature finding much smaller labor impacts relative to schooling impacts.</w:t>
      </w:r>
    </w:p>
    <w:p w:rsidR="009B6872" w:rsidRDefault="009B6872" w:rsidP="00307A17">
      <w:pPr>
        <w:pStyle w:val="Heading2"/>
        <w:spacing w:line="276" w:lineRule="auto"/>
      </w:pPr>
      <w:r>
        <w:t xml:space="preserve">Finding 3: </w:t>
      </w:r>
    </w:p>
    <w:p w:rsidR="006E6E73" w:rsidRPr="006E6E73" w:rsidRDefault="006E6E73" w:rsidP="006E6E73"/>
    <w:p w:rsidR="009B6872" w:rsidRDefault="009B6872" w:rsidP="00307A17">
      <w:pPr>
        <w:pStyle w:val="ListParagraph"/>
        <w:numPr>
          <w:ilvl w:val="0"/>
          <w:numId w:val="5"/>
        </w:numPr>
        <w:spacing w:before="120" w:after="80" w:line="276" w:lineRule="auto"/>
      </w:pPr>
      <w:r>
        <w:t>All effects disappeared completely 16 months after support ended. Neither treatment had any detectable impact on school enrollment, attendance, or child labor.</w:t>
      </w:r>
    </w:p>
    <w:p w:rsidR="009B6872" w:rsidRDefault="009B6872" w:rsidP="00307A17">
      <w:pPr>
        <w:pStyle w:val="ListParagraph"/>
        <w:numPr>
          <w:ilvl w:val="0"/>
          <w:numId w:val="5"/>
        </w:numPr>
        <w:spacing w:before="80" w:after="80" w:line="276" w:lineRule="auto"/>
      </w:pPr>
      <w:r>
        <w:t>At 16-month follow-up, control group school enrollment was 82%. Scholarship group: 86% (difference not significant). Stipend group: 83% (difference not significant). For child labor, 13% of controls were weaving; 12% of scholarship recipients and 10% of stipend recipients (neither difference significant).</w:t>
      </w:r>
    </w:p>
    <w:p w:rsidR="009B6872" w:rsidRDefault="009B6872" w:rsidP="00307A17">
      <w:pPr>
        <w:pStyle w:val="ListParagraph"/>
        <w:numPr>
          <w:ilvl w:val="0"/>
          <w:numId w:val="5"/>
        </w:numPr>
        <w:spacing w:before="80" w:after="80" w:line="276" w:lineRule="auto"/>
      </w:pPr>
      <w:r>
        <w:t>Cannot reject null hypothesis of no effect for any outcome (all p-values &gt; 0.10).</w:t>
      </w:r>
    </w:p>
    <w:p w:rsidR="009B6872" w:rsidRDefault="009B6872" w:rsidP="00307A17">
      <w:pPr>
        <w:pStyle w:val="ListParagraph"/>
        <w:numPr>
          <w:ilvl w:val="0"/>
          <w:numId w:val="5"/>
        </w:numPr>
        <w:spacing w:before="80" w:after="120" w:line="276" w:lineRule="auto"/>
      </w:pPr>
      <w:r>
        <w:t>This is the study's most important policy finding. Despite large effects during the program, there is no evidence of any lasting impact whatsoever. This contradicts the theory underlying most anti-child-labor programs, which assume temporary support creates permanent change through habit formation, human capital accumulation, or changed aspirations.</w:t>
      </w:r>
    </w:p>
    <w:p w:rsidR="00D7359C" w:rsidRDefault="00D7359C" w:rsidP="00307A17">
      <w:pPr>
        <w:spacing w:line="276" w:lineRule="auto"/>
      </w:pPr>
    </w:p>
    <w:p w:rsidR="008D697B" w:rsidRDefault="008D697B" w:rsidP="00307A17">
      <w:pPr>
        <w:pStyle w:val="Heading2"/>
        <w:spacing w:line="276" w:lineRule="auto"/>
      </w:pPr>
      <w:r>
        <w:t>Heterogeneity</w:t>
      </w:r>
    </w:p>
    <w:p w:rsidR="008D697B" w:rsidRDefault="008D697B" w:rsidP="00307A17">
      <w:pPr>
        <w:spacing w:before="120" w:after="120" w:line="276" w:lineRule="auto"/>
      </w:pPr>
      <w:r>
        <w:t>Effects were consistently larger for girls than boys, though not always statistically</w:t>
      </w:r>
      <w:r w:rsidR="003C1F2F">
        <w:t xml:space="preserve"> </w:t>
      </w:r>
      <w:r>
        <w:t>significantly different. For girls, the stipend reduced carpet weaving by 64% (10.3 percentage points) versus essentially no effect for boys. Girls also showed larger schooling gains: the normalized schooling measure increased by 0.31 standard deviations for girls versus 0.23 for boys. The scholarship showed minimal effects for either gender.</w:t>
      </w:r>
    </w:p>
    <w:p w:rsidR="008D697B" w:rsidRDefault="008D697B" w:rsidP="00307A17">
      <w:pPr>
        <w:spacing w:before="120" w:after="120" w:line="276" w:lineRule="auto"/>
      </w:pPr>
      <w:r>
        <w:lastRenderedPageBreak/>
        <w:t>Girls were more likely to work in carpet weaving at baseline (16% vs 6% for boys) and worked more hours when weaving. Since girls faced stronger trade-offs between school and hazardous work, they responded more to incentives that tipped the balance toward schooling.</w:t>
      </w:r>
    </w:p>
    <w:p w:rsidR="008D697B" w:rsidRDefault="003C1F2F" w:rsidP="00307A17">
      <w:pPr>
        <w:spacing w:before="120" w:after="120" w:line="276" w:lineRule="auto"/>
      </w:pPr>
      <w:r>
        <w:t>There was n</w:t>
      </w:r>
      <w:r w:rsidR="008D697B" w:rsidRPr="003C1F2F">
        <w:t>o meaningful differences by</w:t>
      </w:r>
      <w:r>
        <w:t xml:space="preserve"> a</w:t>
      </w:r>
      <w:r w:rsidR="008D697B">
        <w:t>ge group or establishment size. The authors tested these but found patterns too inconsistent to warrant detailed reporting.</w:t>
      </w:r>
    </w:p>
    <w:p w:rsidR="00D7359C" w:rsidRDefault="0058561F" w:rsidP="00307A17">
      <w:pPr>
        <w:pStyle w:val="Heading1"/>
        <w:spacing w:line="276" w:lineRule="auto"/>
      </w:pPr>
      <w:r>
        <w:t>5. Limitations &amp; Open Questions</w:t>
      </w:r>
    </w:p>
    <w:p w:rsidR="00D7359C" w:rsidRDefault="00D7359C" w:rsidP="00307A17">
      <w:pPr>
        <w:spacing w:line="276" w:lineRule="auto"/>
      </w:pPr>
    </w:p>
    <w:p w:rsidR="004073F2" w:rsidRDefault="0058561F" w:rsidP="00307A17">
      <w:pPr>
        <w:spacing w:line="276" w:lineRule="auto"/>
        <w:rPr>
          <w:b/>
          <w:bCs/>
        </w:rPr>
      </w:pPr>
      <w:r>
        <w:rPr>
          <w:b/>
          <w:bCs/>
        </w:rPr>
        <w:t xml:space="preserve">External Validity Concerns: </w:t>
      </w:r>
      <w:r w:rsidR="008E1C7C">
        <w:rPr>
          <w:b/>
          <w:bCs/>
        </w:rPr>
        <w:t xml:space="preserve"> </w:t>
      </w:r>
    </w:p>
    <w:p w:rsidR="004073F2" w:rsidRDefault="004073F2" w:rsidP="00307A17">
      <w:pPr>
        <w:spacing w:line="276" w:lineRule="auto"/>
        <w:rPr>
          <w:b/>
          <w:bCs/>
        </w:rPr>
      </w:pPr>
    </w:p>
    <w:p w:rsidR="008E1C7C" w:rsidRPr="008E1C7C" w:rsidRDefault="008E1C7C" w:rsidP="00307A17">
      <w:pPr>
        <w:pStyle w:val="ListParagraph"/>
        <w:numPr>
          <w:ilvl w:val="0"/>
          <w:numId w:val="6"/>
        </w:numPr>
        <w:spacing w:line="276" w:lineRule="auto"/>
      </w:pPr>
      <w:r w:rsidRPr="008E1C7C">
        <w:t>Specific population: Study subjects are children of carpet workers in Kathmandu, disproportionately Buddhist, Tamang/Magar ethnicity, and migrant families. Parents have lower education than the general Kathmandu population.</w:t>
      </w:r>
    </w:p>
    <w:p w:rsidR="008E1C7C" w:rsidRPr="008E1C7C" w:rsidRDefault="008E1C7C" w:rsidP="00307A17">
      <w:pPr>
        <w:pStyle w:val="ListParagraph"/>
        <w:numPr>
          <w:ilvl w:val="0"/>
          <w:numId w:val="6"/>
        </w:numPr>
        <w:spacing w:line="276" w:lineRule="auto"/>
      </w:pPr>
      <w:r w:rsidRPr="008E1C7C">
        <w:t xml:space="preserve">Already enrolled: </w:t>
      </w:r>
      <w:r w:rsidR="004073F2">
        <w:t xml:space="preserve">Since </w:t>
      </w:r>
      <w:r w:rsidRPr="008E1C7C">
        <w:t>98% were enrolled at baseline, effects work through</w:t>
      </w:r>
      <w:r w:rsidR="004073F2">
        <w:t xml:space="preserve"> </w:t>
      </w:r>
      <w:r w:rsidRPr="008E1C7C">
        <w:t xml:space="preserve">preventing dropout rather than initial enrollment. </w:t>
      </w:r>
      <w:r w:rsidR="004073F2">
        <w:t>So the r</w:t>
      </w:r>
      <w:r w:rsidRPr="008E1C7C">
        <w:t xml:space="preserve">esults may not apply to children </w:t>
      </w:r>
      <w:r w:rsidR="004073F2">
        <w:t xml:space="preserve">who are </w:t>
      </w:r>
      <w:r w:rsidRPr="008E1C7C">
        <w:t>never enrolled.</w:t>
      </w:r>
    </w:p>
    <w:p w:rsidR="00D7359C" w:rsidRPr="008E1C7C" w:rsidRDefault="008E1C7C" w:rsidP="00307A17">
      <w:pPr>
        <w:pStyle w:val="ListParagraph"/>
        <w:numPr>
          <w:ilvl w:val="0"/>
          <w:numId w:val="6"/>
        </w:numPr>
        <w:spacing w:line="276" w:lineRule="auto"/>
      </w:pPr>
      <w:r w:rsidRPr="008E1C7C">
        <w:t>Urban context: Kathmandu setting may not generalize to rural areas where most child labor occurs.</w:t>
      </w:r>
    </w:p>
    <w:p w:rsidR="00D7359C" w:rsidRDefault="00D7359C" w:rsidP="00307A17">
      <w:pPr>
        <w:spacing w:line="276" w:lineRule="auto"/>
      </w:pPr>
    </w:p>
    <w:p w:rsidR="00D7359C" w:rsidRDefault="0058561F" w:rsidP="00307A17">
      <w:pPr>
        <w:spacing w:line="276" w:lineRule="auto"/>
        <w:rPr>
          <w:b/>
          <w:bCs/>
        </w:rPr>
      </w:pPr>
      <w:r>
        <w:rPr>
          <w:b/>
          <w:bCs/>
        </w:rPr>
        <w:t xml:space="preserve">Unanswered Questions: </w:t>
      </w:r>
    </w:p>
    <w:p w:rsidR="004073F2" w:rsidRDefault="004073F2" w:rsidP="00307A17">
      <w:pPr>
        <w:spacing w:line="276" w:lineRule="auto"/>
      </w:pPr>
    </w:p>
    <w:p w:rsidR="004073F2" w:rsidRDefault="004073F2" w:rsidP="00307A17">
      <w:pPr>
        <w:pStyle w:val="ListParagraph"/>
        <w:numPr>
          <w:ilvl w:val="0"/>
          <w:numId w:val="9"/>
        </w:numPr>
        <w:spacing w:line="276" w:lineRule="auto"/>
      </w:pPr>
      <w:r w:rsidRPr="00317E2B">
        <w:rPr>
          <w:b/>
          <w:bCs/>
        </w:rPr>
        <w:t xml:space="preserve">Why did effects not persist? </w:t>
      </w:r>
      <w:r>
        <w:t>The study documents that effects disappear but cannot definitively explain why. Possible mechanisms (habit formation, changed aspirations, human capital accumulation) all failed to produce lasting change.</w:t>
      </w:r>
    </w:p>
    <w:p w:rsidR="004073F2" w:rsidRDefault="004073F2" w:rsidP="00307A17">
      <w:pPr>
        <w:pStyle w:val="ListParagraph"/>
        <w:numPr>
          <w:ilvl w:val="0"/>
          <w:numId w:val="9"/>
        </w:numPr>
        <w:spacing w:line="276" w:lineRule="auto"/>
      </w:pPr>
      <w:r w:rsidRPr="00317E2B">
        <w:rPr>
          <w:b/>
          <w:bCs/>
        </w:rPr>
        <w:t xml:space="preserve">Optimal duration: </w:t>
      </w:r>
      <w:r>
        <w:t>Would longer support (2-3 years vs. 1 year) produce lasting effects, or would effects still disappear after support ends?</w:t>
      </w:r>
    </w:p>
    <w:p w:rsidR="004073F2" w:rsidRDefault="004073F2" w:rsidP="00307A17">
      <w:pPr>
        <w:pStyle w:val="ListParagraph"/>
        <w:numPr>
          <w:ilvl w:val="0"/>
          <w:numId w:val="9"/>
        </w:numPr>
        <w:spacing w:line="276" w:lineRule="auto"/>
      </w:pPr>
      <w:r w:rsidRPr="00317E2B">
        <w:rPr>
          <w:b/>
          <w:bCs/>
        </w:rPr>
        <w:t xml:space="preserve">Cost-effectiveness: </w:t>
      </w:r>
      <w:r>
        <w:t>Is preventing child labor for one year worth the cost if effects don't persist? What's the welfare calculation?</w:t>
      </w:r>
    </w:p>
    <w:p w:rsidR="004073F2" w:rsidRDefault="004073F2" w:rsidP="00307A17">
      <w:pPr>
        <w:spacing w:line="276" w:lineRule="auto"/>
      </w:pPr>
    </w:p>
    <w:p w:rsidR="00D7359C" w:rsidRDefault="00D7359C" w:rsidP="00307A17">
      <w:pPr>
        <w:spacing w:line="276" w:lineRule="auto"/>
      </w:pPr>
    </w:p>
    <w:p w:rsidR="00317E2B" w:rsidRDefault="0058561F" w:rsidP="00307A17">
      <w:pPr>
        <w:spacing w:line="276" w:lineRule="auto"/>
        <w:rPr>
          <w:b/>
          <w:bCs/>
        </w:rPr>
      </w:pPr>
      <w:r>
        <w:rPr>
          <w:b/>
          <w:bCs/>
        </w:rPr>
        <w:t>Future Research Needed:</w:t>
      </w:r>
    </w:p>
    <w:p w:rsidR="00317E2B" w:rsidRDefault="00317E2B" w:rsidP="00307A17">
      <w:pPr>
        <w:pStyle w:val="ListParagraph"/>
        <w:numPr>
          <w:ilvl w:val="0"/>
          <w:numId w:val="11"/>
        </w:numPr>
        <w:spacing w:line="276" w:lineRule="auto"/>
      </w:pPr>
      <w:r>
        <w:t>Longer-term follow-ups (5-10 years) to test whether any effects emerge later</w:t>
      </w:r>
    </w:p>
    <w:p w:rsidR="00317E2B" w:rsidRDefault="00317E2B" w:rsidP="00307A17">
      <w:pPr>
        <w:pStyle w:val="ListParagraph"/>
        <w:numPr>
          <w:ilvl w:val="0"/>
          <w:numId w:val="11"/>
        </w:numPr>
        <w:spacing w:line="276" w:lineRule="auto"/>
      </w:pPr>
      <w:r>
        <w:t>Trials with multi-year support to test duration effects</w:t>
      </w:r>
    </w:p>
    <w:p w:rsidR="00317E2B" w:rsidRDefault="00317E2B" w:rsidP="00307A17">
      <w:pPr>
        <w:pStyle w:val="ListParagraph"/>
        <w:numPr>
          <w:ilvl w:val="0"/>
          <w:numId w:val="11"/>
        </w:numPr>
        <w:spacing w:line="276" w:lineRule="auto"/>
      </w:pPr>
      <w:r>
        <w:t>Research on program design features that might create persistence</w:t>
      </w:r>
    </w:p>
    <w:p w:rsidR="002B358A" w:rsidRDefault="00317E2B" w:rsidP="00307A17">
      <w:pPr>
        <w:pStyle w:val="ListParagraph"/>
        <w:numPr>
          <w:ilvl w:val="0"/>
          <w:numId w:val="11"/>
        </w:numPr>
        <w:spacing w:line="276" w:lineRule="auto"/>
      </w:pPr>
      <w:r>
        <w:t>Understanding how families make decisions about children's time, and how to build parental confidence in the long-term rewards of education over more immediate needs</w:t>
      </w:r>
      <w:r w:rsidR="0058561F">
        <w:t xml:space="preserve"> </w:t>
      </w:r>
    </w:p>
    <w:p w:rsidR="00D7359C" w:rsidRPr="002B358A" w:rsidRDefault="002B358A" w:rsidP="002B358A">
      <w:pPr>
        <w:rPr>
          <w:szCs w:val="20"/>
        </w:rPr>
      </w:pPr>
      <w:r>
        <w:br w:type="page"/>
      </w:r>
    </w:p>
    <w:p w:rsidR="00D7359C" w:rsidRPr="00665982" w:rsidRDefault="0058561F" w:rsidP="00307A17">
      <w:pPr>
        <w:pStyle w:val="Heading1"/>
        <w:spacing w:line="276" w:lineRule="auto"/>
      </w:pPr>
      <w:r>
        <w:lastRenderedPageBreak/>
        <w:t>6. Applicability to Nepal</w:t>
      </w:r>
    </w:p>
    <w:p w:rsidR="00D7359C" w:rsidRDefault="00D7359C" w:rsidP="00307A17">
      <w:pPr>
        <w:spacing w:line="276" w:lineRule="auto"/>
      </w:pPr>
    </w:p>
    <w:p w:rsidR="00D7359C" w:rsidRDefault="0058561F" w:rsidP="00307A17">
      <w:pPr>
        <w:pStyle w:val="Heading2"/>
        <w:spacing w:line="276" w:lineRule="auto"/>
      </w:pPr>
      <w:r>
        <w:t>Contextual Similarity</w:t>
      </w:r>
    </w:p>
    <w:p w:rsidR="00665982" w:rsidRDefault="00665982" w:rsidP="00307A17">
      <w:pPr>
        <w:spacing w:line="276" w:lineRule="auto"/>
        <w:rPr>
          <w:b/>
          <w:bCs/>
        </w:rPr>
      </w:pPr>
    </w:p>
    <w:p w:rsidR="00D7359C" w:rsidRDefault="00665982" w:rsidP="00307A17">
      <w:pPr>
        <w:spacing w:line="276" w:lineRule="auto"/>
      </w:pPr>
      <w:r>
        <w:t>The research took place in the Kathmandu Valley among children of carpet workers, a specific but policy-relevant population. Study families had monthly incomes ≤NPR 8,500 (USD 119), placing them near the poverty line. Nepal has community (government) schools providing free basic education through grade 8. The study population was predominantly Buddhist, Tamang/Magar ethnicity, and migrant--different from the general Nepali population (83% Hindu, more Brahmin/Chhetri), but these ethnic groups have large presence in districts surrounding Kathmandu</w:t>
      </w:r>
    </w:p>
    <w:p w:rsidR="00D7359C" w:rsidRDefault="0058561F" w:rsidP="00307A17">
      <w:pPr>
        <w:pStyle w:val="Heading2"/>
        <w:spacing w:line="276" w:lineRule="auto"/>
      </w:pPr>
      <w:r>
        <w:t>Implementation Considerations</w:t>
      </w:r>
    </w:p>
    <w:p w:rsidR="00307A17" w:rsidRDefault="00307A17" w:rsidP="00307A17">
      <w:pPr>
        <w:spacing w:before="120" w:after="80"/>
      </w:pPr>
      <w:r w:rsidRPr="00307A17">
        <w:t>These design principles must be adhered to if were to implement such polic</w:t>
      </w:r>
      <w:r>
        <w:t>y:</w:t>
      </w:r>
    </w:p>
    <w:p w:rsidR="00307A17" w:rsidRPr="00273BC7" w:rsidRDefault="00307A17" w:rsidP="00273BC7">
      <w:pPr>
        <w:pStyle w:val="ListParagraph"/>
        <w:numPr>
          <w:ilvl w:val="0"/>
          <w:numId w:val="12"/>
        </w:numPr>
        <w:spacing w:line="276" w:lineRule="auto"/>
      </w:pPr>
      <w:r w:rsidRPr="00273BC7">
        <w:t>Cover opportunity costs, not just direct costs: Scholarships covering only school fees had minimal impact. The stipend—equivalent to what children would earn weaving—produced all the effects.</w:t>
      </w:r>
    </w:p>
    <w:p w:rsidR="00307A17" w:rsidRPr="00273BC7" w:rsidRDefault="00307A17" w:rsidP="00273BC7">
      <w:pPr>
        <w:pStyle w:val="ListParagraph"/>
        <w:numPr>
          <w:ilvl w:val="0"/>
          <w:numId w:val="12"/>
        </w:numPr>
        <w:spacing w:line="276" w:lineRule="auto"/>
      </w:pPr>
      <w:r w:rsidRPr="00273BC7">
        <w:t>Make it conditional on attendance: The monthly conditionality (80% attendance) was key to sustained effects throughout the school year.</w:t>
      </w:r>
    </w:p>
    <w:p w:rsidR="00307A17" w:rsidRPr="00273BC7" w:rsidRDefault="00307A17" w:rsidP="00273BC7">
      <w:pPr>
        <w:pStyle w:val="ListParagraph"/>
        <w:numPr>
          <w:ilvl w:val="0"/>
          <w:numId w:val="12"/>
        </w:numPr>
        <w:spacing w:line="276" w:lineRule="auto"/>
      </w:pPr>
      <w:r w:rsidRPr="00273BC7">
        <w:t>Monthly payments work better than lump sum: The stipend paid monthly kept effects strong all year, while the scholarship (paid at school year start) showed effects only in early months.</w:t>
      </w:r>
    </w:p>
    <w:p w:rsidR="00D7359C" w:rsidRPr="00273BC7" w:rsidRDefault="00D7359C" w:rsidP="00273BC7">
      <w:pPr>
        <w:spacing w:line="276" w:lineRule="auto"/>
      </w:pPr>
    </w:p>
    <w:p w:rsidR="00D7359C" w:rsidRDefault="0058561F" w:rsidP="00307A17">
      <w:pPr>
        <w:pStyle w:val="Heading2"/>
        <w:spacing w:line="276" w:lineRule="auto"/>
      </w:pPr>
      <w:r>
        <w:t>Existing Evidence from Nepal</w:t>
      </w:r>
    </w:p>
    <w:p w:rsidR="00665982" w:rsidRPr="00665982" w:rsidRDefault="00665982" w:rsidP="00307A17">
      <w:pPr>
        <w:spacing w:line="276" w:lineRule="auto"/>
      </w:pPr>
    </w:p>
    <w:p w:rsidR="00D7359C" w:rsidRDefault="00665982" w:rsidP="00307A17">
      <w:pPr>
        <w:spacing w:line="276" w:lineRule="auto"/>
      </w:pPr>
      <w:r>
        <w:t>This was the first RCT on child labor interventions in Nepal. It directly informs Nepali policy. The Nepal Living Standards Survey III (2010/11) data shows 9.8% of poor children in Kathmandu do wage work, closely matching the 9.5% carpet weaving rate in the study—validating that the sample represents real child labor patterns. The finding that scholarship alone had minimal effects aligns with broader evidence that school cost is not the primary barrier when opportunity costs (foregone earnings) are high.</w:t>
      </w:r>
    </w:p>
    <w:p w:rsidR="00D7359C" w:rsidRDefault="0058561F" w:rsidP="00307A17">
      <w:pPr>
        <w:pStyle w:val="Heading2"/>
        <w:spacing w:line="276" w:lineRule="auto"/>
      </w:pPr>
      <w:r>
        <w:t>Policy Entry Points</w:t>
      </w:r>
    </w:p>
    <w:p w:rsidR="00ED2232" w:rsidRDefault="00ED2232" w:rsidP="00307A17">
      <w:pPr>
        <w:spacing w:line="276" w:lineRule="auto"/>
      </w:pPr>
    </w:p>
    <w:p w:rsidR="00ED2232" w:rsidRDefault="00ED2232" w:rsidP="00307A17">
      <w:pPr>
        <w:spacing w:line="276" w:lineRule="auto"/>
      </w:pPr>
      <w:r>
        <w:rPr>
          <w:b/>
          <w:bCs/>
        </w:rPr>
        <w:t xml:space="preserve">Ministry of Education, Science and Technology (MoEST): </w:t>
      </w:r>
      <w:r>
        <w:t>It could integrate conditional stipends into existing scholarship programs. Nepal already has scholarship programs for marginalized groups; adding attendance conditionality and increasing amounts to cover opportunity costs would align with this evidence</w:t>
      </w:r>
    </w:p>
    <w:p w:rsidR="001F18B8" w:rsidRDefault="001F18B8" w:rsidP="00307A17">
      <w:pPr>
        <w:spacing w:line="276" w:lineRule="auto"/>
      </w:pPr>
    </w:p>
    <w:p w:rsidR="001F18B8" w:rsidRDefault="001F18B8" w:rsidP="00307A17">
      <w:pPr>
        <w:spacing w:before="80" w:after="120" w:line="276" w:lineRule="auto"/>
      </w:pPr>
      <w:r>
        <w:t xml:space="preserve">Any policy adoption must address the persistence problem. Since effects are only transitory integrating with permanent social protection rather than temporary projects could yield permanent effects. However, this claim needs to be validated by further research. </w:t>
      </w:r>
    </w:p>
    <w:p w:rsidR="001F18B8" w:rsidRPr="00ED2232" w:rsidRDefault="001F18B8" w:rsidP="00307A17">
      <w:pPr>
        <w:spacing w:line="276" w:lineRule="auto"/>
      </w:pPr>
    </w:p>
    <w:p w:rsidR="00D7359C" w:rsidRDefault="0058561F" w:rsidP="00307A17">
      <w:pPr>
        <w:pStyle w:val="Heading1"/>
        <w:spacing w:line="276" w:lineRule="auto"/>
      </w:pPr>
      <w:r>
        <w:lastRenderedPageBreak/>
        <w:t>7. Policy Implications</w:t>
      </w:r>
    </w:p>
    <w:p w:rsidR="00F813A1" w:rsidRDefault="00F813A1" w:rsidP="00307A17">
      <w:pPr>
        <w:spacing w:line="276" w:lineRule="auto"/>
      </w:pPr>
    </w:p>
    <w:p w:rsidR="00F813A1" w:rsidRDefault="00F813A1" w:rsidP="00307A17">
      <w:pPr>
        <w:spacing w:before="120" w:after="120" w:line="276" w:lineRule="auto"/>
      </w:pPr>
      <w:r>
        <w:t>In the short-term, Policymakers could consider conditional cash transfers that compensate for foregone child labor earnings as an effective tool for temporarily reducing hazardous child labor. The evidence is clear: during the period of support, properly designed transfers can cut hazardous child labor by half while substantially increasing school attendance.</w:t>
      </w:r>
    </w:p>
    <w:p w:rsidR="00F813A1" w:rsidRPr="00F813A1" w:rsidRDefault="00F813A1" w:rsidP="00307A17">
      <w:pPr>
        <w:spacing w:before="120" w:after="120" w:line="276" w:lineRule="auto"/>
      </w:pPr>
      <w:r>
        <w:t>This paper reveals that temporary support produces only temporary effects and ther</w:t>
      </w:r>
      <w:r w:rsidR="003A09A7">
        <w:t>efore, in the long-term, the supports have to be intergrated into permanent social protection scheme. However, additional research needs to be performed to validate this.</w:t>
      </w:r>
    </w:p>
    <w:p w:rsidR="00D7359C" w:rsidRDefault="0058561F" w:rsidP="00307A17">
      <w:pPr>
        <w:pStyle w:val="Heading1"/>
        <w:spacing w:line="276" w:lineRule="auto"/>
      </w:pPr>
      <w:r>
        <w:t>Keywords</w:t>
      </w:r>
    </w:p>
    <w:p w:rsidR="000F023A" w:rsidRDefault="000F023A" w:rsidP="00307A17">
      <w:pPr>
        <w:spacing w:before="120" w:after="120" w:line="276" w:lineRule="auto"/>
      </w:pPr>
      <w:r>
        <w:t xml:space="preserve">child labor • conditional cash transfers • education incentives • hazardous work • Nepal • program evaluation • randomized controlled trial </w:t>
      </w:r>
    </w:p>
    <w:p w:rsidR="00D7359C" w:rsidRDefault="0058561F" w:rsidP="00307A17">
      <w:pPr>
        <w:pStyle w:val="Heading1"/>
        <w:spacing w:line="276" w:lineRule="auto"/>
      </w:pPr>
      <w:r>
        <w:t>Citation</w:t>
      </w:r>
    </w:p>
    <w:p w:rsidR="00D7359C" w:rsidRDefault="000F023A" w:rsidP="00307A17">
      <w:pPr>
        <w:spacing w:before="120" w:after="120" w:line="276" w:lineRule="auto"/>
      </w:pPr>
      <w:r>
        <w:t>Edmonds, E. V., &amp; Shrestha, M. (2014). Evidence Brief: You get what you pay for: Schooling incentives and child labor. Nepal Evidence for Policy Project.</w:t>
      </w:r>
    </w:p>
    <w:sectPr w:rsidR="00D7359C">
      <w:headerReference w:type="default" r:id="rId8"/>
      <w:footerReference w:type="default" r:id="rId9"/>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52E2B" w:rsidRDefault="00F52E2B">
      <w:r>
        <w:separator/>
      </w:r>
    </w:p>
  </w:endnote>
  <w:endnote w:type="continuationSeparator" w:id="0">
    <w:p w:rsidR="00F52E2B" w:rsidRDefault="00F52E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49CB33F-A980-412A-B3D0-A30CE3A8FEF6}"/>
  </w:font>
  <w:font w:name="Calibri">
    <w:panose1 w:val="020F0502020204030204"/>
    <w:charset w:val="00"/>
    <w:family w:val="swiss"/>
    <w:pitch w:val="variable"/>
    <w:sig w:usb0="E4002EFF" w:usb1="C200247B" w:usb2="00000009" w:usb3="00000000" w:csb0="000001FF" w:csb1="00000000"/>
    <w:embedRegular r:id="rId2" w:fontKey="{1C49C574-F48C-4F72-B598-3818EF030E62}"/>
    <w:embedItalic r:id="rId3" w:fontKey="{8BDC6EF4-E5CA-4761-A988-21E84EAE5BD5}"/>
  </w:font>
  <w:font w:name="Mangal">
    <w:panose1 w:val="00000400000000000000"/>
    <w:charset w:val="00"/>
    <w:family w:val="roman"/>
    <w:pitch w:val="variable"/>
    <w:sig w:usb0="00008003" w:usb1="00000000" w:usb2="00000000" w:usb3="00000000" w:csb0="00000001" w:csb1="00000000"/>
    <w:embedRegular r:id="rId4" w:fontKey="{2A7FB492-2312-47C6-A02A-B9E4A227DF64}"/>
  </w:font>
  <w:font w:name="Cambria">
    <w:panose1 w:val="02040503050406030204"/>
    <w:charset w:val="00"/>
    <w:family w:val="roman"/>
    <w:pitch w:val="variable"/>
    <w:sig w:usb0="E00006FF" w:usb1="420024FF" w:usb2="02000000" w:usb3="00000000" w:csb0="0000019F" w:csb1="00000000"/>
    <w:embedRegular r:id="rId5" w:fontKey="{2AB5CDF1-329B-49C2-9B03-D4ADDB05962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7359C" w:rsidRDefault="0058561F">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54425">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35442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52E2B" w:rsidRDefault="00F52E2B">
      <w:r>
        <w:separator/>
      </w:r>
    </w:p>
  </w:footnote>
  <w:footnote w:type="continuationSeparator" w:id="0">
    <w:p w:rsidR="00F52E2B" w:rsidRDefault="00F52E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D7359C" w:rsidRDefault="0058561F">
    <w:pPr>
      <w:jc w:val="right"/>
    </w:pPr>
    <w:r>
      <w:rPr>
        <w:i/>
        <w:iCs/>
        <w:color w:val="7F8C8D"/>
        <w:sz w:val="18"/>
        <w:szCs w:val="18"/>
      </w:rPr>
      <w:t xml:space="preserve">Evidence Brief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F662FB"/>
    <w:multiLevelType w:val="hybridMultilevel"/>
    <w:tmpl w:val="FE7ED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407E67"/>
    <w:multiLevelType w:val="hybridMultilevel"/>
    <w:tmpl w:val="04164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11CC8"/>
    <w:multiLevelType w:val="hybridMultilevel"/>
    <w:tmpl w:val="A9D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7239"/>
    <w:multiLevelType w:val="hybridMultilevel"/>
    <w:tmpl w:val="7098F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4C261A"/>
    <w:multiLevelType w:val="hybridMultilevel"/>
    <w:tmpl w:val="BFF83B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F3C7672"/>
    <w:multiLevelType w:val="multilevel"/>
    <w:tmpl w:val="A8C2A5FC"/>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6" w15:restartNumberingAfterBreak="0">
    <w:nsid w:val="53DE318E"/>
    <w:multiLevelType w:val="hybridMultilevel"/>
    <w:tmpl w:val="9C109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267193"/>
    <w:multiLevelType w:val="hybridMultilevel"/>
    <w:tmpl w:val="D0443A0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4C8326E"/>
    <w:multiLevelType w:val="hybridMultilevel"/>
    <w:tmpl w:val="A64C489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94F7001"/>
    <w:multiLevelType w:val="hybridMultilevel"/>
    <w:tmpl w:val="4FCA8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DDD3CB6"/>
    <w:multiLevelType w:val="hybridMultilevel"/>
    <w:tmpl w:val="92F89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7D817FC"/>
    <w:multiLevelType w:val="hybridMultilevel"/>
    <w:tmpl w:val="CA64D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635C40"/>
    <w:multiLevelType w:val="hybridMultilevel"/>
    <w:tmpl w:val="B380DA7C"/>
    <w:lvl w:ilvl="0" w:tplc="58E0159E">
      <w:start w:val="1"/>
      <w:numFmt w:val="bullet"/>
      <w:lvlText w:val="•"/>
      <w:lvlJc w:val="left"/>
      <w:pPr>
        <w:ind w:left="720" w:hanging="360"/>
      </w:pPr>
    </w:lvl>
    <w:lvl w:ilvl="1" w:tplc="ABF43E08">
      <w:numFmt w:val="decimal"/>
      <w:lvlText w:val=""/>
      <w:lvlJc w:val="left"/>
    </w:lvl>
    <w:lvl w:ilvl="2" w:tplc="4D02CA78">
      <w:numFmt w:val="decimal"/>
      <w:lvlText w:val=""/>
      <w:lvlJc w:val="left"/>
    </w:lvl>
    <w:lvl w:ilvl="3" w:tplc="F6E41FC8">
      <w:numFmt w:val="decimal"/>
      <w:lvlText w:val=""/>
      <w:lvlJc w:val="left"/>
    </w:lvl>
    <w:lvl w:ilvl="4" w:tplc="B2B2FEF0">
      <w:numFmt w:val="decimal"/>
      <w:lvlText w:val=""/>
      <w:lvlJc w:val="left"/>
    </w:lvl>
    <w:lvl w:ilvl="5" w:tplc="EBD4E68C">
      <w:numFmt w:val="decimal"/>
      <w:lvlText w:val=""/>
      <w:lvlJc w:val="left"/>
    </w:lvl>
    <w:lvl w:ilvl="6" w:tplc="4AC273A6">
      <w:numFmt w:val="decimal"/>
      <w:lvlText w:val=""/>
      <w:lvlJc w:val="left"/>
    </w:lvl>
    <w:lvl w:ilvl="7" w:tplc="17A689D6">
      <w:numFmt w:val="decimal"/>
      <w:lvlText w:val=""/>
      <w:lvlJc w:val="left"/>
    </w:lvl>
    <w:lvl w:ilvl="8" w:tplc="3E3005BE">
      <w:numFmt w:val="decimal"/>
      <w:lvlText w:val=""/>
      <w:lvlJc w:val="left"/>
    </w:lvl>
  </w:abstractNum>
  <w:num w:numId="1">
    <w:abstractNumId w:val="5"/>
  </w:num>
  <w:num w:numId="2">
    <w:abstractNumId w:val="2"/>
  </w:num>
  <w:num w:numId="3">
    <w:abstractNumId w:val="0"/>
  </w:num>
  <w:num w:numId="4">
    <w:abstractNumId w:val="1"/>
  </w:num>
  <w:num w:numId="5">
    <w:abstractNumId w:val="3"/>
  </w:num>
  <w:num w:numId="6">
    <w:abstractNumId w:val="11"/>
  </w:num>
  <w:num w:numId="7">
    <w:abstractNumId w:val="12"/>
    <w:lvlOverride w:ilvl="0">
      <w:startOverride w:val="1"/>
    </w:lvlOverride>
  </w:num>
  <w:num w:numId="8">
    <w:abstractNumId w:val="4"/>
  </w:num>
  <w:num w:numId="9">
    <w:abstractNumId w:val="10"/>
  </w:num>
  <w:num w:numId="10">
    <w:abstractNumId w:val="7"/>
  </w:num>
  <w:num w:numId="11">
    <w:abstractNumId w:val="9"/>
  </w:num>
  <w:num w:numId="12">
    <w:abstractNumId w:val="6"/>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359C"/>
    <w:rsid w:val="00051205"/>
    <w:rsid w:val="000F023A"/>
    <w:rsid w:val="00174BD1"/>
    <w:rsid w:val="001F18B8"/>
    <w:rsid w:val="00273BC7"/>
    <w:rsid w:val="002B358A"/>
    <w:rsid w:val="00307A17"/>
    <w:rsid w:val="00317E2B"/>
    <w:rsid w:val="00354425"/>
    <w:rsid w:val="00355A3C"/>
    <w:rsid w:val="003A09A7"/>
    <w:rsid w:val="003C1F2F"/>
    <w:rsid w:val="004073F2"/>
    <w:rsid w:val="004202EB"/>
    <w:rsid w:val="00455EC8"/>
    <w:rsid w:val="0058561F"/>
    <w:rsid w:val="005D1F32"/>
    <w:rsid w:val="006257A3"/>
    <w:rsid w:val="00665982"/>
    <w:rsid w:val="006E6E73"/>
    <w:rsid w:val="007A366D"/>
    <w:rsid w:val="00823D74"/>
    <w:rsid w:val="008D697B"/>
    <w:rsid w:val="008E1C7C"/>
    <w:rsid w:val="009B6872"/>
    <w:rsid w:val="00AD189A"/>
    <w:rsid w:val="00CF0123"/>
    <w:rsid w:val="00D7359C"/>
    <w:rsid w:val="00ED2232"/>
    <w:rsid w:val="00EE60CC"/>
    <w:rsid w:val="00F52E2B"/>
    <w:rsid w:val="00F813A1"/>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AA2B4"/>
  <w15:docId w15:val="{F3ABFD99-03DF-4DEC-A401-C7D5E09C8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B4F72"/>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80"/>
      <w:outlineLvl w:val="1"/>
    </w:pPr>
    <w:rPr>
      <w:b/>
      <w:bCs/>
      <w:color w:val="2E86AB"/>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240"/>
      <w:jc w:val="center"/>
    </w:pPr>
    <w:rPr>
      <w:b/>
      <w:bCs/>
      <w:color w:val="1B4F72"/>
      <w:sz w:val="48"/>
      <w:szCs w:val="4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character" w:styleId="Hyperlink">
    <w:name w:val="Hyperlink"/>
    <w:uiPriority w:val="99"/>
    <w:unhideWhenUsed/>
    <w:rsid w:val="00174BD1"/>
    <w:rPr>
      <w:color w:val="0563C1"/>
      <w:u w:val="single"/>
    </w:rPr>
  </w:style>
  <w:style w:type="paragraph" w:customStyle="1" w:styleId="BlockQuote">
    <w:name w:val="Block Quote"/>
    <w:rsid w:val="00174BD1"/>
    <w:pPr>
      <w:spacing w:before="240" w:after="240" w:line="276" w:lineRule="auto"/>
      <w:ind w:left="720"/>
    </w:pPr>
    <w:rPr>
      <w:rFonts w:ascii="Calibri" w:eastAsia="Calibri" w:hAnsi="Calibri" w:cs="Calibri"/>
      <w:i/>
      <w:iCs/>
      <w:color w:val="404040"/>
    </w:rPr>
  </w:style>
  <w:style w:type="paragraph" w:styleId="ListParagraph">
    <w:name w:val="List Paragraph"/>
    <w:basedOn w:val="Normal"/>
    <w:qFormat/>
    <w:rsid w:val="003C1F2F"/>
    <w:pPr>
      <w:ind w:left="720"/>
      <w:contextualSpacing/>
    </w:pPr>
    <w:rPr>
      <w:szCs w:val="20"/>
    </w:rPr>
  </w:style>
  <w:style w:type="paragraph" w:styleId="Header">
    <w:name w:val="header"/>
    <w:basedOn w:val="Normal"/>
    <w:link w:val="HeaderChar"/>
    <w:uiPriority w:val="99"/>
    <w:unhideWhenUsed/>
    <w:rsid w:val="00823D74"/>
    <w:pPr>
      <w:tabs>
        <w:tab w:val="center" w:pos="4680"/>
        <w:tab w:val="right" w:pos="9360"/>
      </w:tabs>
    </w:pPr>
    <w:rPr>
      <w:szCs w:val="20"/>
    </w:rPr>
  </w:style>
  <w:style w:type="character" w:customStyle="1" w:styleId="HeaderChar">
    <w:name w:val="Header Char"/>
    <w:basedOn w:val="DefaultParagraphFont"/>
    <w:link w:val="Header"/>
    <w:uiPriority w:val="99"/>
    <w:rsid w:val="00823D74"/>
    <w:rPr>
      <w:szCs w:val="20"/>
    </w:rPr>
  </w:style>
  <w:style w:type="paragraph" w:styleId="Footer">
    <w:name w:val="footer"/>
    <w:basedOn w:val="Normal"/>
    <w:link w:val="FooterChar"/>
    <w:uiPriority w:val="99"/>
    <w:unhideWhenUsed/>
    <w:rsid w:val="00823D74"/>
    <w:pPr>
      <w:tabs>
        <w:tab w:val="center" w:pos="4680"/>
        <w:tab w:val="right" w:pos="9360"/>
      </w:tabs>
    </w:pPr>
    <w:rPr>
      <w:szCs w:val="20"/>
    </w:rPr>
  </w:style>
  <w:style w:type="character" w:customStyle="1" w:styleId="FooterChar">
    <w:name w:val="Footer Char"/>
    <w:basedOn w:val="DefaultParagraphFont"/>
    <w:link w:val="Footer"/>
    <w:uiPriority w:val="99"/>
    <w:rsid w:val="00823D74"/>
    <w:rPr>
      <w:szCs w:val="20"/>
    </w:rPr>
  </w:style>
  <w:style w:type="character" w:styleId="FollowedHyperlink">
    <w:name w:val="FollowedHyperlink"/>
    <w:basedOn w:val="DefaultParagraphFont"/>
    <w:uiPriority w:val="99"/>
    <w:semiHidden/>
    <w:unhideWhenUsed/>
    <w:rsid w:val="00AD189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7511001">
      <w:bodyDiv w:val="1"/>
      <w:marLeft w:val="0"/>
      <w:marRight w:val="0"/>
      <w:marTop w:val="0"/>
      <w:marBottom w:val="0"/>
      <w:divBdr>
        <w:top w:val="none" w:sz="0" w:space="0" w:color="auto"/>
        <w:left w:val="none" w:sz="0" w:space="0" w:color="auto"/>
        <w:bottom w:val="none" w:sz="0" w:space="0" w:color="auto"/>
        <w:right w:val="none" w:sz="0" w:space="0" w:color="auto"/>
      </w:divBdr>
      <w:divsChild>
        <w:div w:id="125701245">
          <w:marLeft w:val="0"/>
          <w:marRight w:val="0"/>
          <w:marTop w:val="0"/>
          <w:marBottom w:val="0"/>
          <w:divBdr>
            <w:top w:val="none" w:sz="0" w:space="0" w:color="auto"/>
            <w:left w:val="none" w:sz="0" w:space="0" w:color="auto"/>
            <w:bottom w:val="none" w:sz="0" w:space="0" w:color="auto"/>
            <w:right w:val="none" w:sz="0" w:space="0" w:color="auto"/>
          </w:divBdr>
        </w:div>
        <w:div w:id="607661289">
          <w:marLeft w:val="0"/>
          <w:marRight w:val="0"/>
          <w:marTop w:val="0"/>
          <w:marBottom w:val="0"/>
          <w:divBdr>
            <w:top w:val="none" w:sz="0" w:space="0" w:color="auto"/>
            <w:left w:val="none" w:sz="0" w:space="0" w:color="auto"/>
            <w:bottom w:val="none" w:sz="0" w:space="0" w:color="auto"/>
            <w:right w:val="none" w:sz="0" w:space="0" w:color="auto"/>
          </w:divBdr>
        </w:div>
        <w:div w:id="233591507">
          <w:marLeft w:val="0"/>
          <w:marRight w:val="0"/>
          <w:marTop w:val="0"/>
          <w:marBottom w:val="0"/>
          <w:divBdr>
            <w:top w:val="none" w:sz="0" w:space="0" w:color="auto"/>
            <w:left w:val="none" w:sz="0" w:space="0" w:color="auto"/>
            <w:bottom w:val="none" w:sz="0" w:space="0" w:color="auto"/>
            <w:right w:val="none" w:sz="0" w:space="0" w:color="auto"/>
          </w:divBdr>
        </w:div>
        <w:div w:id="310595429">
          <w:marLeft w:val="0"/>
          <w:marRight w:val="0"/>
          <w:marTop w:val="0"/>
          <w:marBottom w:val="0"/>
          <w:divBdr>
            <w:top w:val="none" w:sz="0" w:space="0" w:color="auto"/>
            <w:left w:val="none" w:sz="0" w:space="0" w:color="auto"/>
            <w:bottom w:val="none" w:sz="0" w:space="0" w:color="auto"/>
            <w:right w:val="none" w:sz="0" w:space="0" w:color="auto"/>
          </w:divBdr>
        </w:div>
        <w:div w:id="2113936620">
          <w:marLeft w:val="0"/>
          <w:marRight w:val="0"/>
          <w:marTop w:val="0"/>
          <w:marBottom w:val="0"/>
          <w:divBdr>
            <w:top w:val="none" w:sz="0" w:space="0" w:color="auto"/>
            <w:left w:val="none" w:sz="0" w:space="0" w:color="auto"/>
            <w:bottom w:val="none" w:sz="0" w:space="0" w:color="auto"/>
            <w:right w:val="none" w:sz="0" w:space="0" w:color="auto"/>
          </w:divBdr>
        </w:div>
      </w:divsChild>
    </w:div>
    <w:div w:id="772743871">
      <w:bodyDiv w:val="1"/>
      <w:marLeft w:val="0"/>
      <w:marRight w:val="0"/>
      <w:marTop w:val="0"/>
      <w:marBottom w:val="0"/>
      <w:divBdr>
        <w:top w:val="none" w:sz="0" w:space="0" w:color="auto"/>
        <w:left w:val="none" w:sz="0" w:space="0" w:color="auto"/>
        <w:bottom w:val="none" w:sz="0" w:space="0" w:color="auto"/>
        <w:right w:val="none" w:sz="0" w:space="0" w:color="auto"/>
      </w:divBdr>
      <w:divsChild>
        <w:div w:id="187106901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dx.doi.org/10.1016/j.jdeveco.2014.09.00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7</Pages>
  <Words>2061</Words>
  <Characters>11754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9</cp:revision>
  <dcterms:created xsi:type="dcterms:W3CDTF">2026-03-04T07:37:00Z</dcterms:created>
  <dcterms:modified xsi:type="dcterms:W3CDTF">2026-03-04T13:37:00Z</dcterms:modified>
</cp:coreProperties>
</file>