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FF4500"/>
          <w:sz w:val="36"/>
        </w:rPr>
        <w:t>[Meta] From fiction to practice: 5 steps I took to apply my symbiotic worldview to real life</w:t>
      </w:r>
    </w:p>
    <w:p>
      <w:pPr>
        <w:spacing w:after="280"/>
      </w:pPr>
      <w:r>
        <w:rPr>
          <w:i/>
          <w:color w:val="888888"/>
          <w:sz w:val="20"/>
        </w:rPr>
        <w:t>r/worldbuilding • Closing reflection of the series</w:t>
      </w:r>
    </w:p>
    <w:p>
      <w:r>
        <w:t>This is the final post in my Hengyuan Cosmos series, and I want to step out of the fiction for a minute. Worldbuilding is a thought experiment — and thought experiments are useful because they let you test principles in a safe space before applying them to real life. Here are five things this setting has actually changed about how I live.</w:t>
      </w:r>
    </w:p>
    <w:p>
      <w:pPr>
        <w:spacing w:before="240" w:after="80"/>
      </w:pPr>
      <w:r>
        <w:rPr>
          <w:b/>
          <w:color w:val="1A1A2E"/>
          <w:sz w:val="26"/>
        </w:rPr>
        <w:t>1. Identify Your Anchors</w:t>
      </w:r>
    </w:p>
    <w:p>
      <w:r>
        <w:t>Before building anything symbiotic, know what you're already tied to. What would you grieve if it were gone? What systems do you depend on but take for granted? Anchors aren't possessions — they're relationships. People, places, practices, ideas that hold you up and that you hold up in return.</w:t>
      </w:r>
    </w:p>
    <w:p>
      <w:r>
        <w:t>Write them down. Be specific. Not "my community" but "the Wednesday night group, the old oak at the park, the colleague who answers my dumb questions." If you can't name them, you're not yet rooted.</w:t>
      </w:r>
    </w:p>
    <w:p>
      <w:pPr>
        <w:spacing w:before="240" w:after="80"/>
      </w:pPr>
      <w:r>
        <w:rPr>
          <w:b/>
          <w:color w:val="1A1A2E"/>
          <w:sz w:val="26"/>
        </w:rPr>
        <w:t>2. Audit Your Flow</w:t>
      </w:r>
    </w:p>
    <w:p>
      <w:r>
        <w:t>In each relationship, is energy flowing both ways or only one? Taking more than you give? Giving more than you can sustain? Healthy relationships aren't perfectly balanced every moment — but over time, the flow should be reciprocal.</w:t>
      </w:r>
    </w:p>
    <w:p>
      <w:r>
        <w:t>One-way flows aren't moral failures; they're structural problems. What would need to change for the flow to become reciprocal? Sometimes a conversation. Sometimes a boundary. Sometimes accepting that this anchor has run its course and needs release with gratitude.</w:t>
      </w:r>
    </w:p>
    <w:p>
      <w:pPr>
        <w:spacing w:before="240" w:after="80"/>
      </w:pPr>
      <w:r>
        <w:rPr>
          <w:b/>
          <w:color w:val="1A1A2E"/>
          <w:sz w:val="26"/>
        </w:rPr>
        <w:t>3. Distribute Your Core</w:t>
      </w:r>
    </w:p>
    <w:p>
      <w:r>
        <w:t>Don't concentrate your entire sense of worth, identity, or security in one thing — one job, one relationship, one community, one skill. Spread yourself. Have multiple anchors. Not because you're disloyal, but because you're building a life that can survive loss.</w:t>
      </w:r>
    </w:p>
    <w:p>
      <w:r>
        <w:t>A tree with roots in many places isn't less committed to any one place — it's more stable, and better able to nourish all of them.</w:t>
      </w:r>
    </w:p>
    <w:p>
      <w:pPr>
        <w:spacing w:before="240" w:after="80"/>
      </w:pPr>
      <w:r>
        <w:rPr>
          <w:b/>
          <w:color w:val="1A1A2E"/>
          <w:sz w:val="26"/>
        </w:rPr>
        <w:t>4. Practice Bearing Weight</w:t>
      </w:r>
    </w:p>
    <w:p>
      <w:r>
        <w:t>Take responsibility for things larger than yourself. Not because you have to, but because carrying weight is how you grow. Mentor someone. Tend a garden. Show up for the meeting nobody else wants. Fix the thing that's broken even though it's not your job. These small acts are the cultivation practice of ordinary life.</w:t>
      </w:r>
    </w:p>
    <w:p>
      <w:r>
        <w:t>Bear weight you can actually carry — not so little you stagnate, not so much you break. Lifelong calibration. No final answer, just ongoing practice.</w:t>
      </w:r>
    </w:p>
    <w:p>
      <w:pPr>
        <w:spacing w:before="240" w:after="80"/>
      </w:pPr>
      <w:r>
        <w:rPr>
          <w:b/>
          <w:color w:val="1A1A2E"/>
          <w:sz w:val="26"/>
        </w:rPr>
        <w:t>5. Descend Regularly</w:t>
      </w:r>
    </w:p>
    <w:p>
      <w:r>
        <w:t>Whatever your "higher plane" is — ambition, status, expertise, abstraction — come down from it regularly. Do something physical. Talk to someone outside your circles. Do a task beneath your pay grade. Feel the weight of being small and finite and fragile.</w:t>
      </w:r>
    </w:p>
    <w:p>
      <w:r>
        <w:t>Not humility as performance. Maintenance. A person who never descends becomes brittle — abstract, disconnected, prone to catastrophic failure when reality intrudes. Descend before you have to.</w:t>
      </w:r>
    </w:p>
    <w:p>
      <w:pPr>
        <w:spacing w:before="240" w:after="80"/>
      </w:pPr>
      <w:r>
        <w:rPr>
          <w:b/>
          <w:color w:val="1A1A2E"/>
          <w:sz w:val="26"/>
        </w:rPr>
        <w:t>Closing</w:t>
      </w:r>
    </w:p>
    <w:p>
      <w:r>
        <w:t>The Hengyuan Cosmos is a mirror. It asks what kind of world you want to live in, and suggests the answer isn't where you're the strongest — it's where you're the most connected. Where your strength is measured by what you can hold, and by how many others are holding you in return.</w:t>
      </w:r>
    </w:p>
    <w:p>
      <w:r>
        <w:t>You don't need to build a cosmos. Just your corner of it. Root yourself. Bear weight. Distribute your core. Exchange freely. Descend often.</w:t>
      </w:r>
    </w:p>
    <w:p>
      <w:pPr>
        <w:spacing w:before="120" w:after="120"/>
        <w:ind w:left="504"/>
      </w:pPr>
      <w:r>
        <w:rPr>
          <w:i/>
          <w:color w:val="555577"/>
        </w:rPr>
        <w:t>The All-Spirit Balance-Anchor is not a place. It is a practice. And it begins with the choice to carry something, and to let it carry you.</w:t>
      </w:r>
    </w:p>
    <w:p>
      <w:r>
        <w:t>Thanks for reading this series. AMA about any part of the setting, or tell me about your own worldbuilding projects.</w:t>
      </w:r>
    </w:p>
    <w:p>
      <w:pPr>
        <w:spacing w:before="400"/>
      </w:pPr>
      <w:r>
        <w:rPr>
          <w:b/>
          <w:color w:val="FF4500"/>
          <w:sz w:val="24"/>
        </w:rPr>
        <w:t>── 7-Language Glossary / 七语种词料库 ──</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361"/>
            <w:shd w:fill="FF4500" w:val="clear"/>
          </w:tcPr>
          <w:p>
            <w:r/>
            <w:r>
              <w:rPr>
                <w:b/>
                <w:color w:val="FFFFFF"/>
                <w:sz w:val="18"/>
              </w:rPr>
              <w:t>中文</w:t>
            </w:r>
          </w:p>
        </w:tc>
        <w:tc>
          <w:tcPr>
            <w:tcW w:type="dxa" w:w="1361"/>
            <w:shd w:fill="FF4500" w:val="clear"/>
          </w:tcPr>
          <w:p>
            <w:r/>
            <w:r>
              <w:rPr>
                <w:b/>
                <w:color w:val="FFFFFF"/>
                <w:sz w:val="18"/>
              </w:rPr>
              <w:t>English</w:t>
            </w:r>
          </w:p>
        </w:tc>
        <w:tc>
          <w:tcPr>
            <w:tcW w:type="dxa" w:w="1361"/>
            <w:shd w:fill="FF4500" w:val="clear"/>
          </w:tcPr>
          <w:p>
            <w:r/>
            <w:r>
              <w:rPr>
                <w:b/>
                <w:color w:val="FFFFFF"/>
                <w:sz w:val="18"/>
              </w:rPr>
              <w:t>Français</w:t>
            </w:r>
          </w:p>
        </w:tc>
        <w:tc>
          <w:tcPr>
            <w:tcW w:type="dxa" w:w="1361"/>
            <w:shd w:fill="FF4500" w:val="clear"/>
          </w:tcPr>
          <w:p>
            <w:r/>
            <w:r>
              <w:rPr>
                <w:b/>
                <w:color w:val="FFFFFF"/>
                <w:sz w:val="18"/>
              </w:rPr>
              <w:t>Русский</w:t>
            </w:r>
          </w:p>
        </w:tc>
        <w:tc>
          <w:tcPr>
            <w:tcW w:type="dxa" w:w="1361"/>
            <w:shd w:fill="FF4500" w:val="clear"/>
          </w:tcPr>
          <w:p>
            <w:r/>
            <w:r>
              <w:rPr>
                <w:b/>
                <w:color w:val="FFFFFF"/>
                <w:sz w:val="18"/>
              </w:rPr>
              <w:t>हिन्दी</w:t>
            </w:r>
          </w:p>
        </w:tc>
        <w:tc>
          <w:tcPr>
            <w:tcW w:type="dxa" w:w="1361"/>
            <w:shd w:fill="FF4500" w:val="clear"/>
          </w:tcPr>
          <w:p>
            <w:r/>
            <w:r>
              <w:rPr>
                <w:b/>
                <w:color w:val="FFFFFF"/>
                <w:sz w:val="18"/>
              </w:rPr>
              <w:t>Español</w:t>
            </w:r>
          </w:p>
        </w:tc>
        <w:tc>
          <w:tcPr>
            <w:tcW w:type="dxa" w:w="1361"/>
            <w:shd w:fill="FF4500" w:val="clear"/>
          </w:tcPr>
          <w:p>
            <w:r/>
            <w:r>
              <w:rPr>
                <w:b/>
                <w:color w:val="FFFFFF"/>
                <w:sz w:val="18"/>
              </w:rPr>
              <w:t>العربية</w:t>
            </w:r>
          </w:p>
        </w:tc>
      </w:tr>
      <w:tr>
        <w:tc>
          <w:tcPr>
            <w:tcW w:type="dxa" w:w="1361"/>
          </w:tcPr>
          <w:p>
            <w:r/>
            <w:r>
              <w:rPr>
                <w:sz w:val="18"/>
              </w:rPr>
              <w:t>扎根</w:t>
            </w:r>
          </w:p>
        </w:tc>
        <w:tc>
          <w:tcPr>
            <w:tcW w:type="dxa" w:w="1361"/>
          </w:tcPr>
          <w:p>
            <w:r/>
            <w:r>
              <w:rPr>
                <w:b/>
                <w:sz w:val="18"/>
              </w:rPr>
              <w:t>Rooting</w:t>
            </w:r>
          </w:p>
        </w:tc>
        <w:tc>
          <w:tcPr>
            <w:tcW w:type="dxa" w:w="1361"/>
          </w:tcPr>
          <w:p>
            <w:r/>
            <w:r>
              <w:rPr>
                <w:sz w:val="18"/>
              </w:rPr>
              <w:t>Enracinement</w:t>
            </w:r>
          </w:p>
        </w:tc>
        <w:tc>
          <w:tcPr>
            <w:tcW w:type="dxa" w:w="1361"/>
          </w:tcPr>
          <w:p>
            <w:r/>
            <w:r>
              <w:rPr>
                <w:sz w:val="18"/>
              </w:rPr>
              <w:t>Укоренение</w:t>
            </w:r>
          </w:p>
        </w:tc>
        <w:tc>
          <w:tcPr>
            <w:tcW w:type="dxa" w:w="1361"/>
          </w:tcPr>
          <w:p>
            <w:r/>
            <w:r>
              <w:rPr>
                <w:sz w:val="18"/>
              </w:rPr>
              <w:t>जड़ें डालना</w:t>
            </w:r>
          </w:p>
        </w:tc>
        <w:tc>
          <w:tcPr>
            <w:tcW w:type="dxa" w:w="1361"/>
          </w:tcPr>
          <w:p>
            <w:r/>
            <w:r>
              <w:rPr>
                <w:sz w:val="18"/>
              </w:rPr>
              <w:t>Enraizar</w:t>
            </w:r>
          </w:p>
        </w:tc>
        <w:tc>
          <w:tcPr>
            <w:tcW w:type="dxa" w:w="1361"/>
          </w:tcPr>
          <w:p>
            <w:r/>
            <w:r>
              <w:rPr>
                <w:sz w:val="18"/>
              </w:rPr>
              <w:t>التجذر</w:t>
            </w:r>
          </w:p>
        </w:tc>
      </w:tr>
      <w:tr>
        <w:tc>
          <w:tcPr>
            <w:tcW w:type="dxa" w:w="1361"/>
          </w:tcPr>
          <w:p>
            <w:r/>
            <w:r>
              <w:rPr>
                <w:sz w:val="18"/>
              </w:rPr>
              <w:t>能量流动审计</w:t>
            </w:r>
          </w:p>
        </w:tc>
        <w:tc>
          <w:tcPr>
            <w:tcW w:type="dxa" w:w="1361"/>
          </w:tcPr>
          <w:p>
            <w:r/>
            <w:r>
              <w:rPr>
                <w:b/>
                <w:sz w:val="18"/>
              </w:rPr>
              <w:t>Flow Audit</w:t>
            </w:r>
          </w:p>
        </w:tc>
        <w:tc>
          <w:tcPr>
            <w:tcW w:type="dxa" w:w="1361"/>
          </w:tcPr>
          <w:p>
            <w:r/>
            <w:r>
              <w:rPr>
                <w:sz w:val="18"/>
              </w:rPr>
              <w:t>Audit de flux</w:t>
            </w:r>
          </w:p>
        </w:tc>
        <w:tc>
          <w:tcPr>
            <w:tcW w:type="dxa" w:w="1361"/>
          </w:tcPr>
          <w:p>
            <w:r/>
            <w:r>
              <w:rPr>
                <w:sz w:val="18"/>
              </w:rPr>
              <w:t>Аудит потока</w:t>
            </w:r>
          </w:p>
        </w:tc>
        <w:tc>
          <w:tcPr>
            <w:tcW w:type="dxa" w:w="1361"/>
          </w:tcPr>
          <w:p>
            <w:r/>
            <w:r>
              <w:rPr>
                <w:sz w:val="18"/>
              </w:rPr>
              <w:t>प्रवाह लेखा परीक्षा</w:t>
            </w:r>
          </w:p>
        </w:tc>
        <w:tc>
          <w:tcPr>
            <w:tcW w:type="dxa" w:w="1361"/>
          </w:tcPr>
          <w:p>
            <w:r/>
            <w:r>
              <w:rPr>
                <w:sz w:val="18"/>
              </w:rPr>
              <w:t>Auditoría de flujo</w:t>
            </w:r>
          </w:p>
        </w:tc>
        <w:tc>
          <w:tcPr>
            <w:tcW w:type="dxa" w:w="1361"/>
          </w:tcPr>
          <w:p>
            <w:r/>
            <w:r>
              <w:rPr>
                <w:sz w:val="18"/>
              </w:rPr>
              <w:t>تدقيق التدفق</w:t>
            </w:r>
          </w:p>
        </w:tc>
      </w:tr>
      <w:tr>
        <w:tc>
          <w:tcPr>
            <w:tcW w:type="dxa" w:w="1361"/>
          </w:tcPr>
          <w:p>
            <w:r/>
            <w:r>
              <w:rPr>
                <w:sz w:val="18"/>
              </w:rPr>
              <w:t>分布式核心</w:t>
            </w:r>
          </w:p>
        </w:tc>
        <w:tc>
          <w:tcPr>
            <w:tcW w:type="dxa" w:w="1361"/>
          </w:tcPr>
          <w:p>
            <w:r/>
            <w:r>
              <w:rPr>
                <w:b/>
                <w:sz w:val="18"/>
              </w:rPr>
              <w:t>Distribute Your Core</w:t>
            </w:r>
          </w:p>
        </w:tc>
        <w:tc>
          <w:tcPr>
            <w:tcW w:type="dxa" w:w="1361"/>
          </w:tcPr>
          <w:p>
            <w:r/>
            <w:r>
              <w:rPr>
                <w:sz w:val="18"/>
              </w:rPr>
              <w:t>Distribuer votre noyau</w:t>
            </w:r>
          </w:p>
        </w:tc>
        <w:tc>
          <w:tcPr>
            <w:tcW w:type="dxa" w:w="1361"/>
          </w:tcPr>
          <w:p>
            <w:r/>
            <w:r>
              <w:rPr>
                <w:sz w:val="18"/>
              </w:rPr>
              <w:t>Распределите своё ядро</w:t>
            </w:r>
          </w:p>
        </w:tc>
        <w:tc>
          <w:tcPr>
            <w:tcW w:type="dxa" w:w="1361"/>
          </w:tcPr>
          <w:p>
            <w:r/>
            <w:r>
              <w:rPr>
                <w:sz w:val="18"/>
              </w:rPr>
              <w:t>अपना कोर वितरित करें</w:t>
            </w:r>
          </w:p>
        </w:tc>
        <w:tc>
          <w:tcPr>
            <w:tcW w:type="dxa" w:w="1361"/>
          </w:tcPr>
          <w:p>
            <w:r/>
            <w:r>
              <w:rPr>
                <w:sz w:val="18"/>
              </w:rPr>
              <w:t>Distribuye tu núcleo</w:t>
            </w:r>
          </w:p>
        </w:tc>
        <w:tc>
          <w:tcPr>
            <w:tcW w:type="dxa" w:w="1361"/>
          </w:tcPr>
          <w:p>
            <w:r/>
            <w:r>
              <w:rPr>
                <w:sz w:val="18"/>
              </w:rPr>
              <w:t>وزع نواتك</w:t>
            </w:r>
          </w:p>
        </w:tc>
      </w:tr>
      <w:tr>
        <w:tc>
          <w:tcPr>
            <w:tcW w:type="dxa" w:w="1361"/>
          </w:tcPr>
          <w:p>
            <w:r/>
            <w:r>
              <w:rPr>
                <w:sz w:val="18"/>
              </w:rPr>
              <w:t>负重修行</w:t>
            </w:r>
          </w:p>
        </w:tc>
        <w:tc>
          <w:tcPr>
            <w:tcW w:type="dxa" w:w="1361"/>
          </w:tcPr>
          <w:p>
            <w:r/>
            <w:r>
              <w:rPr>
                <w:b/>
                <w:sz w:val="18"/>
              </w:rPr>
              <w:t>Bearing Weight Practice</w:t>
            </w:r>
          </w:p>
        </w:tc>
        <w:tc>
          <w:tcPr>
            <w:tcW w:type="dxa" w:w="1361"/>
          </w:tcPr>
          <w:p>
            <w:r/>
            <w:r>
              <w:rPr>
                <w:sz w:val="18"/>
              </w:rPr>
              <w:t>Pratique du port de poids</w:t>
            </w:r>
          </w:p>
        </w:tc>
        <w:tc>
          <w:tcPr>
            <w:tcW w:type="dxa" w:w="1361"/>
          </w:tcPr>
          <w:p>
            <w:r/>
            <w:r>
              <w:rPr>
                <w:sz w:val="18"/>
              </w:rPr>
              <w:t>Практика несения груза</w:t>
            </w:r>
          </w:p>
        </w:tc>
        <w:tc>
          <w:tcPr>
            <w:tcW w:type="dxa" w:w="1361"/>
          </w:tcPr>
          <w:p>
            <w:r/>
            <w:r>
              <w:rPr>
                <w:sz w:val="18"/>
              </w:rPr>
              <w:t>भार वहन अभ्यास</w:t>
            </w:r>
          </w:p>
        </w:tc>
        <w:tc>
          <w:tcPr>
            <w:tcW w:type="dxa" w:w="1361"/>
          </w:tcPr>
          <w:p>
            <w:r/>
            <w:r>
              <w:rPr>
                <w:sz w:val="18"/>
              </w:rPr>
              <w:t>Práctica de soportar peso</w:t>
            </w:r>
          </w:p>
        </w:tc>
        <w:tc>
          <w:tcPr>
            <w:tcW w:type="dxa" w:w="1361"/>
          </w:tcPr>
          <w:p>
            <w:r/>
            <w:r>
              <w:rPr>
                <w:sz w:val="18"/>
              </w:rPr>
              <w:t>ممارسة حمل الثقل</w:t>
            </w:r>
          </w:p>
        </w:tc>
      </w:tr>
      <w:tr>
        <w:tc>
          <w:tcPr>
            <w:tcW w:type="dxa" w:w="1361"/>
          </w:tcPr>
          <w:p>
            <w:r/>
            <w:r>
              <w:rPr>
                <w:sz w:val="18"/>
              </w:rPr>
              <w:t>定期降世</w:t>
            </w:r>
          </w:p>
        </w:tc>
        <w:tc>
          <w:tcPr>
            <w:tcW w:type="dxa" w:w="1361"/>
          </w:tcPr>
          <w:p>
            <w:r/>
            <w:r>
              <w:rPr>
                <w:b/>
                <w:sz w:val="18"/>
              </w:rPr>
              <w:t>Regular Descent</w:t>
            </w:r>
          </w:p>
        </w:tc>
        <w:tc>
          <w:tcPr>
            <w:tcW w:type="dxa" w:w="1361"/>
          </w:tcPr>
          <w:p>
            <w:r/>
            <w:r>
              <w:rPr>
                <w:sz w:val="18"/>
              </w:rPr>
              <w:t>Descente régulière</w:t>
            </w:r>
          </w:p>
        </w:tc>
        <w:tc>
          <w:tcPr>
            <w:tcW w:type="dxa" w:w="1361"/>
          </w:tcPr>
          <w:p>
            <w:r/>
            <w:r>
              <w:rPr>
                <w:sz w:val="18"/>
              </w:rPr>
              <w:t>Регулярное нисхождение</w:t>
            </w:r>
          </w:p>
        </w:tc>
        <w:tc>
          <w:tcPr>
            <w:tcW w:type="dxa" w:w="1361"/>
          </w:tcPr>
          <w:p>
            <w:r/>
            <w:r>
              <w:rPr>
                <w:sz w:val="18"/>
              </w:rPr>
              <w:t>नियमित अवतरण</w:t>
            </w:r>
          </w:p>
        </w:tc>
        <w:tc>
          <w:tcPr>
            <w:tcW w:type="dxa" w:w="1361"/>
          </w:tcPr>
          <w:p>
            <w:r/>
            <w:r>
              <w:rPr>
                <w:sz w:val="18"/>
              </w:rPr>
              <w:t>Descenso regular</w:t>
            </w:r>
          </w:p>
        </w:tc>
        <w:tc>
          <w:tcPr>
            <w:tcW w:type="dxa" w:w="1361"/>
          </w:tcPr>
          <w:p>
            <w:r/>
            <w:r>
              <w:rPr>
                <w:sz w:val="18"/>
              </w:rPr>
              <w:t>النزول المنتظم</w:t>
            </w:r>
          </w:p>
        </w:tc>
      </w:tr>
      <w:tr>
        <w:tc>
          <w:tcPr>
            <w:tcW w:type="dxa" w:w="1361"/>
          </w:tcPr>
          <w:p>
            <w:r/>
            <w:r>
              <w:rPr>
                <w:sz w:val="18"/>
              </w:rPr>
              <w:t>锚点识别</w:t>
            </w:r>
          </w:p>
        </w:tc>
        <w:tc>
          <w:tcPr>
            <w:tcW w:type="dxa" w:w="1361"/>
          </w:tcPr>
          <w:p>
            <w:r/>
            <w:r>
              <w:rPr>
                <w:b/>
                <w:sz w:val="18"/>
              </w:rPr>
              <w:t>Anchor Identification</w:t>
            </w:r>
          </w:p>
        </w:tc>
        <w:tc>
          <w:tcPr>
            <w:tcW w:type="dxa" w:w="1361"/>
          </w:tcPr>
          <w:p>
            <w:r/>
            <w:r>
              <w:rPr>
                <w:sz w:val="18"/>
              </w:rPr>
              <w:t>Identification d'ancres</w:t>
            </w:r>
          </w:p>
        </w:tc>
        <w:tc>
          <w:tcPr>
            <w:tcW w:type="dxa" w:w="1361"/>
          </w:tcPr>
          <w:p>
            <w:r/>
            <w:r>
              <w:rPr>
                <w:sz w:val="18"/>
              </w:rPr>
              <w:t>Идентификация якорей</w:t>
            </w:r>
          </w:p>
        </w:tc>
        <w:tc>
          <w:tcPr>
            <w:tcW w:type="dxa" w:w="1361"/>
          </w:tcPr>
          <w:p>
            <w:r/>
            <w:r>
              <w:rPr>
                <w:sz w:val="18"/>
              </w:rPr>
              <w:t>एंकर पहचान</w:t>
            </w:r>
          </w:p>
        </w:tc>
        <w:tc>
          <w:tcPr>
            <w:tcW w:type="dxa" w:w="1361"/>
          </w:tcPr>
          <w:p>
            <w:r/>
            <w:r>
              <w:rPr>
                <w:sz w:val="18"/>
              </w:rPr>
              <w:t>Identificación de anclas</w:t>
            </w:r>
          </w:p>
        </w:tc>
        <w:tc>
          <w:tcPr>
            <w:tcW w:type="dxa" w:w="1361"/>
          </w:tcPr>
          <w:p>
            <w:r/>
            <w:r>
              <w:rPr>
                <w:sz w:val="18"/>
              </w:rPr>
              <w:t>تحديد المراسي</w:t>
            </w:r>
          </w:p>
        </w:tc>
      </w:tr>
      <w:tr>
        <w:tc>
          <w:tcPr>
            <w:tcW w:type="dxa" w:w="1361"/>
          </w:tcPr>
          <w:p>
            <w:r/>
            <w:r>
              <w:rPr>
                <w:sz w:val="18"/>
              </w:rPr>
              <w:t>互惠关系</w:t>
            </w:r>
          </w:p>
        </w:tc>
        <w:tc>
          <w:tcPr>
            <w:tcW w:type="dxa" w:w="1361"/>
          </w:tcPr>
          <w:p>
            <w:r/>
            <w:r>
              <w:rPr>
                <w:b/>
                <w:sz w:val="18"/>
              </w:rPr>
              <w:t>Reciprocal Relationship</w:t>
            </w:r>
          </w:p>
        </w:tc>
        <w:tc>
          <w:tcPr>
            <w:tcW w:type="dxa" w:w="1361"/>
          </w:tcPr>
          <w:p>
            <w:r/>
            <w:r>
              <w:rPr>
                <w:sz w:val="18"/>
              </w:rPr>
              <w:t>Relation réciproque</w:t>
            </w:r>
          </w:p>
        </w:tc>
        <w:tc>
          <w:tcPr>
            <w:tcW w:type="dxa" w:w="1361"/>
          </w:tcPr>
          <w:p>
            <w:r/>
            <w:r>
              <w:rPr>
                <w:sz w:val="18"/>
              </w:rPr>
              <w:t>Взаимные отношения</w:t>
            </w:r>
          </w:p>
        </w:tc>
        <w:tc>
          <w:tcPr>
            <w:tcW w:type="dxa" w:w="1361"/>
          </w:tcPr>
          <w:p>
            <w:r/>
            <w:r>
              <w:rPr>
                <w:sz w:val="18"/>
              </w:rPr>
              <w:t>पारस्परिक संबंध</w:t>
            </w:r>
          </w:p>
        </w:tc>
        <w:tc>
          <w:tcPr>
            <w:tcW w:type="dxa" w:w="1361"/>
          </w:tcPr>
          <w:p>
            <w:r/>
            <w:r>
              <w:rPr>
                <w:sz w:val="18"/>
              </w:rPr>
              <w:t>Relación recíproca</w:t>
            </w:r>
          </w:p>
        </w:tc>
        <w:tc>
          <w:tcPr>
            <w:tcW w:type="dxa" w:w="1361"/>
          </w:tcPr>
          <w:p>
            <w:r/>
            <w:r>
              <w:rPr>
                <w:sz w:val="18"/>
              </w:rPr>
              <w:t>علاقة متبادلة</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