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>
      <w:pPr>
        <w:jc w:val="center"/>
      </w:pPr>
      <w:r>
        <w:rPr>
          <w:sz w:val="20"/>
        </w:rPr>
        <w:t>─────────────────────</w:t>
      </w:r>
    </w:p>
    <w:p/>
    <w:p>
      <w:pPr>
        <w:jc w:val="center"/>
      </w:pPr>
      <w:r>
        <w:rPr>
          <w:rFonts w:ascii="Times New Roman" w:hAnsi="Times New Roman"/>
          <w:sz w:val="26"/>
        </w:rPr>
        <w:t>Số: 91/2015/QH13</w:t>
      </w:r>
    </w:p>
    <w:p>
      <w:pPr>
        <w:jc w:val="center"/>
      </w:pPr>
      <w:r>
        <w:rPr>
          <w:rFonts w:ascii="Times New Roman" w:hAnsi="Times New Roman"/>
          <w:i/>
          <w:sz w:val="24"/>
        </w:rPr>
        <w:t>Ngày ban hành: 24/11/2015</w:t>
      </w:r>
    </w:p>
    <w:p/>
    <w:p>
      <w:pPr>
        <w:jc w:val="center"/>
      </w:pPr>
      <w:r>
        <w:rPr>
          <w:rFonts w:ascii="Times New Roman" w:hAnsi="Times New Roman"/>
          <w:b/>
          <w:color w:val="00008B"/>
          <w:sz w:val="28"/>
        </w:rPr>
        <w:t>BỘ LUẬT DÂN SỰ 2015</w:t>
      </w:r>
    </w:p>
    <w:p/>
    <w:p>
      <w:pPr>
        <w:jc w:val="left"/>
      </w:pPr>
    </w:p>
    <w:p>
      <w:r>
        <w:rPr>
          <w:rFonts w:ascii="Times New Roman" w:hAnsi="Times New Roman"/>
          <w:b/>
          <w:sz w:val="24"/>
        </w:rPr>
        <w:t xml:space="preserve">Loại văn bản: </w:t>
      </w:r>
      <w:r>
        <w:rPr>
          <w:rFonts w:ascii="Times New Roman" w:hAnsi="Times New Roman"/>
          <w:sz w:val="24"/>
        </w:rPr>
        <w:t>Bộ luật</w:t>
      </w:r>
    </w:p>
    <w:p>
      <w:r>
        <w:rPr>
          <w:rFonts w:ascii="Times New Roman" w:hAnsi="Times New Roman"/>
          <w:b/>
          <w:sz w:val="24"/>
        </w:rPr>
        <w:t xml:space="preserve">Số hiệu: </w:t>
      </w:r>
      <w:r>
        <w:rPr>
          <w:rFonts w:ascii="Times New Roman" w:hAnsi="Times New Roman"/>
          <w:sz w:val="24"/>
        </w:rPr>
        <w:t>91/2015/QH13</w:t>
      </w:r>
    </w:p>
    <w:p>
      <w:r>
        <w:rPr>
          <w:rFonts w:ascii="Times New Roman" w:hAnsi="Times New Roman"/>
          <w:b/>
          <w:sz w:val="24"/>
        </w:rPr>
        <w:t xml:space="preserve">Ngày ban hành: </w:t>
      </w:r>
      <w:r>
        <w:rPr>
          <w:rFonts w:ascii="Times New Roman" w:hAnsi="Times New Roman"/>
          <w:sz w:val="24"/>
        </w:rPr>
        <w:t>24/11/2015</w:t>
      </w:r>
    </w:p>
    <w:p>
      <w:r>
        <w:rPr>
          <w:rFonts w:ascii="Times New Roman" w:hAnsi="Times New Roman"/>
          <w:b/>
          <w:sz w:val="24"/>
        </w:rPr>
        <w:t xml:space="preserve">Lĩnh vực: </w:t>
      </w:r>
      <w:r>
        <w:rPr>
          <w:rFonts w:ascii="Times New Roman" w:hAnsi="Times New Roman"/>
          <w:sz w:val="24"/>
        </w:rPr>
        <w:t>Bộ luật Dân sự</w:t>
      </w:r>
    </w:p>
    <w:p>
      <w:r>
        <w:rPr>
          <w:rFonts w:ascii="Times New Roman" w:hAnsi="Times New Roman"/>
          <w:b/>
          <w:sz w:val="24"/>
        </w:rPr>
        <w:t xml:space="preserve">Nguồn: </w:t>
      </w:r>
      <w:r>
        <w:rPr>
          <w:rFonts w:ascii="Times New Roman" w:hAnsi="Times New Roman"/>
          <w:sz w:val="24"/>
        </w:rPr>
        <w:t>Cơ sở dữ liệu quốc gia về pháp luật (vbpl.vn)</w:t>
      </w:r>
    </w:p>
    <w:p>
      <w:pPr>
        <w:jc w:val="center"/>
      </w:pPr>
      <w:r>
        <w:rPr>
          <w:color w:val="808080"/>
          <w:sz w:val="20"/>
        </w:rPr>
        <w:t>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NỘI DUNG VĂN BẢN</w:t>
      </w:r>
    </w:p>
    <w:p/>
    <w:p>
      <w:r>
        <w:rPr>
          <w:rFonts w:ascii="Times New Roman" w:hAnsi="Times New Roman"/>
          <w:sz w:val="26"/>
        </w:rPr>
        <w:t>Bộ luật Dân sự số 91/2015/QH13 được Quốc hội khóa XIII thông qua ngày 24/11/2015, có hiệu lực từ 01/01/2017. Bộ luật quy định địa vị pháp lý, chuẩn mực pháp lý về cách ứng xử của cá nhân, pháp nhân; quyền, nghĩa vụ về nhân thân và tài sản của cá nhân, pháp nhân trong các quan hệ được hình thành trên cơ sở bình đẳng, tự do ý chí, độc lập về tài sản và tự chịu trách nhiệm.</w:t>
      </w:r>
    </w:p>
    <w:p/>
    <w:p>
      <w:pPr>
        <w:jc w:val="center"/>
      </w:pPr>
      <w:r>
        <w:rPr>
          <w:color w:val="808080"/>
          <w:sz w:val="16"/>
        </w:rPr>
        <w:t>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i/>
          <w:color w:val="808080"/>
          <w:sz w:val="18"/>
        </w:rPr>
        <w:t>Văn bản này được tải về từ Cơ sở dữ liệu quốc gia về pháp luật (vbpl.vn)</w:t>
        <w:br/>
        <w:t>Thời gian tải: 14/06/2026 21:50:35</w:t>
        <w:br/>
        <w:t>Lưu ý: Kiểm tra hiệu lực văn bản trước khi sử dụng.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