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Pr>
        <w:jc w:val="center"/>
      </w:pPr>
      <w:r>
        <w:rPr>
          <w:sz w:val="20"/>
        </w:rPr>
        <w:t>─────────────────────</w:t>
      </w:r>
    </w:p>
    <w:p/>
    <w:p>
      <w:pPr>
        <w:jc w:val="center"/>
      </w:pPr>
      <w:r>
        <w:rPr>
          <w:rFonts w:ascii="Times New Roman" w:hAnsi="Times New Roman"/>
          <w:sz w:val="26"/>
        </w:rPr>
        <w:t>Số: 04/2017/NQ-HĐTP</w:t>
      </w:r>
    </w:p>
    <w:p>
      <w:pPr>
        <w:jc w:val="center"/>
      </w:pPr>
      <w:r>
        <w:rPr>
          <w:rFonts w:ascii="Times New Roman" w:hAnsi="Times New Roman"/>
          <w:i/>
          <w:sz w:val="24"/>
        </w:rPr>
        <w:t>Ngày ban hành: 05/05/2017</w:t>
      </w:r>
    </w:p>
    <w:p/>
    <w:p>
      <w:pPr>
        <w:jc w:val="center"/>
      </w:pPr>
      <w:r>
        <w:rPr>
          <w:rFonts w:ascii="Times New Roman" w:hAnsi="Times New Roman"/>
          <w:b/>
          <w:color w:val="00008B"/>
          <w:sz w:val="28"/>
        </w:rPr>
        <w:t>NGHỊ QUYẾT 04/2017/NQ-HĐTP HƯỚNG DẪN ÁP DỤNG MỘT SỐ QUY ĐỊNH TẠI BỘ LUẬT DÂN SỰ</w:t>
      </w:r>
    </w:p>
    <w:p/>
    <w:p>
      <w:pPr>
        <w:jc w:val="left"/>
      </w:pPr>
    </w:p>
    <w:p>
      <w:r>
        <w:rPr>
          <w:rFonts w:ascii="Times New Roman" w:hAnsi="Times New Roman"/>
          <w:b/>
          <w:sz w:val="24"/>
        </w:rPr>
        <w:t xml:space="preserve">Loại văn bản: </w:t>
      </w:r>
      <w:r>
        <w:rPr>
          <w:rFonts w:ascii="Times New Roman" w:hAnsi="Times New Roman"/>
          <w:sz w:val="24"/>
        </w:rPr>
        <w:t>Nghị quyết</w:t>
      </w:r>
    </w:p>
    <w:p>
      <w:r>
        <w:rPr>
          <w:rFonts w:ascii="Times New Roman" w:hAnsi="Times New Roman"/>
          <w:b/>
          <w:sz w:val="24"/>
        </w:rPr>
        <w:t xml:space="preserve">Số hiệu: </w:t>
      </w:r>
      <w:r>
        <w:rPr>
          <w:rFonts w:ascii="Times New Roman" w:hAnsi="Times New Roman"/>
          <w:sz w:val="24"/>
        </w:rPr>
        <w:t>04/2017/NQ-HĐTP</w:t>
      </w:r>
    </w:p>
    <w:p>
      <w:r>
        <w:rPr>
          <w:rFonts w:ascii="Times New Roman" w:hAnsi="Times New Roman"/>
          <w:b/>
          <w:sz w:val="24"/>
        </w:rPr>
        <w:t xml:space="preserve">Ngày ban hành: </w:t>
      </w:r>
      <w:r>
        <w:rPr>
          <w:rFonts w:ascii="Times New Roman" w:hAnsi="Times New Roman"/>
          <w:sz w:val="24"/>
        </w:rPr>
        <w:t>05/05/2017</w:t>
      </w:r>
    </w:p>
    <w:p>
      <w:r>
        <w:rPr>
          <w:rFonts w:ascii="Times New Roman" w:hAnsi="Times New Roman"/>
          <w:b/>
          <w:sz w:val="24"/>
        </w:rPr>
        <w:t xml:space="preserve">Lĩnh vực: </w:t>
      </w:r>
      <w:r>
        <w:rPr>
          <w:rFonts w:ascii="Times New Roman" w:hAnsi="Times New Roman"/>
          <w:sz w:val="24"/>
        </w:rPr>
        <w:t>Bộ luật Dân sự</w:t>
      </w:r>
    </w:p>
    <w:p>
      <w:r>
        <w:rPr>
          <w:rFonts w:ascii="Times New Roman" w:hAnsi="Times New Roman"/>
          <w:b/>
          <w:sz w:val="24"/>
        </w:rPr>
        <w:t xml:space="preserve">Nguồn: </w:t>
      </w:r>
      <w:r>
        <w:rPr>
          <w:rFonts w:ascii="Times New Roman" w:hAnsi="Times New Roman"/>
          <w:sz w:val="24"/>
        </w:rPr>
        <w:t>Cơ sở dữ liệu quốc gia về pháp luật (vbpl.vn)</w:t>
      </w:r>
    </w:p>
    <w:p>
      <w:pPr>
        <w:jc w:val="center"/>
      </w:pPr>
      <w:r>
        <w:rPr>
          <w:color w:val="808080"/>
          <w:sz w:val="20"/>
        </w:rPr>
        <w:t>══════════════════════════════════════════════════</w:t>
      </w:r>
    </w:p>
    <w:p/>
    <w:p>
      <w:pPr>
        <w:jc w:val="center"/>
      </w:pPr>
      <w:r>
        <w:rPr>
          <w:rFonts w:ascii="Times New Roman" w:hAnsi="Times New Roman"/>
          <w:b/>
          <w:sz w:val="28"/>
        </w:rPr>
        <w:t>NỘI DUNG VĂN BẢN</w:t>
      </w:r>
    </w:p>
    <w:p/>
    <w:p>
      <w:r>
        <w:rPr>
          <w:rFonts w:ascii="Times New Roman" w:hAnsi="Times New Roman"/>
          <w:sz w:val="26"/>
        </w:rPr>
        <w:t>Nghị quyết 04/2017/NQ-HĐTP của Hội đồng Thẩm phán Tòa án nhân dân tối cao hướng dẫn một số quy định tại Bộ luật Dân sự 2015 về trách nhiệm bồi thường thiệt hại ngoài hợp đồng.</w:t>
      </w:r>
    </w:p>
    <w:p/>
    <w:p>
      <w:pPr>
        <w:jc w:val="center"/>
      </w:pPr>
      <w:r>
        <w:rPr>
          <w:color w:val="808080"/>
          <w:sz w:val="16"/>
        </w:rPr>
        <w:t>────────────────────────────────────────</w:t>
      </w:r>
    </w:p>
    <w:p>
      <w:pPr>
        <w:jc w:val="center"/>
      </w:pPr>
      <w:r>
        <w:rPr>
          <w:rFonts w:ascii="Times New Roman" w:hAnsi="Times New Roman"/>
          <w:i/>
          <w:color w:val="808080"/>
          <w:sz w:val="18"/>
        </w:rPr>
        <w:t>Văn bản này được tải về từ Cơ sở dữ liệu quốc gia về pháp luật (vbpl.vn)</w:t>
        <w:br/>
        <w:t>Thời gian tải: 14/06/2026 21:50:38</w:t>
        <w:br/>
        <w:t>Lưu ý: Kiểm tra hiệu lực văn bản trước khi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