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sz w:val="20"/>
        </w:rPr>
        <w:t>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sz w:val="26"/>
        </w:rPr>
        <w:t>Số: 13/2022/QH15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Ngày ban hành: 14/11/2022</w:t>
      </w:r>
    </w:p>
    <w:p/>
    <w:p>
      <w:pPr>
        <w:jc w:val="center"/>
      </w:pPr>
      <w:r>
        <w:rPr>
          <w:rFonts w:ascii="Times New Roman" w:hAnsi="Times New Roman"/>
          <w:b/>
          <w:color w:val="00008B"/>
          <w:sz w:val="28"/>
        </w:rPr>
        <w:t>LUẬT PHÒNG, CHỐNG BẠO LỰC GIA ĐÌNH 2022</w:t>
      </w:r>
    </w:p>
    <w:p/>
    <w:p>
      <w:pPr>
        <w:jc w:val="left"/>
      </w:pPr>
    </w:p>
    <w:p>
      <w:r>
        <w:rPr>
          <w:rFonts w:ascii="Times New Roman" w:hAnsi="Times New Roman"/>
          <w:b/>
          <w:sz w:val="24"/>
        </w:rPr>
        <w:t xml:space="preserve">Loại văn bản: </w:t>
      </w:r>
      <w:r>
        <w:rPr>
          <w:rFonts w:ascii="Times New Roman" w:hAnsi="Times New Roman"/>
          <w:sz w:val="24"/>
        </w:rPr>
        <w:t>Luật</w:t>
      </w:r>
    </w:p>
    <w:p>
      <w:r>
        <w:rPr>
          <w:rFonts w:ascii="Times New Roman" w:hAnsi="Times New Roman"/>
          <w:b/>
          <w:sz w:val="24"/>
        </w:rPr>
        <w:t xml:space="preserve">Số hiệu: </w:t>
      </w:r>
      <w:r>
        <w:rPr>
          <w:rFonts w:ascii="Times New Roman" w:hAnsi="Times New Roman"/>
          <w:sz w:val="24"/>
        </w:rPr>
        <w:t>13/2022/QH15</w:t>
      </w:r>
    </w:p>
    <w:p>
      <w:r>
        <w:rPr>
          <w:rFonts w:ascii="Times New Roman" w:hAnsi="Times New Roman"/>
          <w:b/>
          <w:sz w:val="24"/>
        </w:rPr>
        <w:t xml:space="preserve">Ngày ban hành: </w:t>
      </w:r>
      <w:r>
        <w:rPr>
          <w:rFonts w:ascii="Times New Roman" w:hAnsi="Times New Roman"/>
          <w:sz w:val="24"/>
        </w:rPr>
        <w:t>14/11/2022</w:t>
      </w:r>
    </w:p>
    <w:p>
      <w:r>
        <w:rPr>
          <w:rFonts w:ascii="Times New Roman" w:hAnsi="Times New Roman"/>
          <w:b/>
          <w:sz w:val="24"/>
        </w:rPr>
        <w:t xml:space="preserve">Lĩnh vực: </w:t>
      </w:r>
      <w:r>
        <w:rPr>
          <w:rFonts w:ascii="Times New Roman" w:hAnsi="Times New Roman"/>
          <w:sz w:val="24"/>
        </w:rPr>
        <w:t>Luật Hôn nhân và Gia đình</w:t>
      </w:r>
    </w:p>
    <w:p>
      <w:r>
        <w:rPr>
          <w:rFonts w:ascii="Times New Roman" w:hAnsi="Times New Roman"/>
          <w:b/>
          <w:sz w:val="24"/>
        </w:rPr>
        <w:t xml:space="preserve">Nguồn: </w:t>
      </w:r>
      <w:r>
        <w:rPr>
          <w:rFonts w:ascii="Times New Roman" w:hAnsi="Times New Roman"/>
          <w:sz w:val="24"/>
        </w:rPr>
        <w:t>Cơ sở dữ liệu quốc gia về pháp luật (vbpl.vn)</w:t>
      </w:r>
    </w:p>
    <w:p>
      <w:pPr>
        <w:jc w:val="center"/>
      </w:pPr>
      <w:r>
        <w:rPr>
          <w:color w:val="808080"/>
          <w:sz w:val="20"/>
        </w:rPr>
        <w:t>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NỘI DUNG VĂN BẢN</w:t>
      </w:r>
    </w:p>
    <w:p/>
    <w:p>
      <w:r>
        <w:rPr>
          <w:rFonts w:ascii="Times New Roman" w:hAnsi="Times New Roman"/>
          <w:sz w:val="26"/>
        </w:rPr>
        <w:t>Luật Phòng, chống bạo lực gia đình 2022 quy định về phòng ngừa, phát hiện, ngăn chặn và xử lý hành vi bạo lực gia đình; bảo vệ, hỗ trợ nạn nhân bạo lực gia đình; trách nhiệm của cơ quan, tổ chức, gia đình, cá nhân trong phòng, chống bạo lực gia đình.</w:t>
      </w:r>
    </w:p>
    <w:p/>
    <w:p>
      <w:pPr>
        <w:jc w:val="center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Văn bản này được tải về từ Cơ sở dữ liệu quốc gia về pháp luật (vbpl.vn)</w:t>
        <w:br/>
        <w:t>Thời gian tải: 14/06/2026 21:50:41</w:t>
        <w:br/>
        <w:t>Lưu ý: Kiểm tra hiệu lực văn bản trước khi sử dụng.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