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10/2015/NĐ-CP</w:t>
      </w:r>
    </w:p>
    <w:p>
      <w:pPr>
        <w:jc w:val="center"/>
      </w:pPr>
      <w:r>
        <w:rPr>
          <w:rFonts w:ascii="Times New Roman" w:hAnsi="Times New Roman"/>
          <w:i/>
          <w:sz w:val="24"/>
        </w:rPr>
        <w:t>Ngày ban hành: 28/01/2015</w:t>
      </w:r>
    </w:p>
    <w:p/>
    <w:p>
      <w:pPr>
        <w:jc w:val="center"/>
      </w:pPr>
      <w:r>
        <w:rPr>
          <w:rFonts w:ascii="Times New Roman" w:hAnsi="Times New Roman"/>
          <w:b/>
          <w:color w:val="00008B"/>
          <w:sz w:val="28"/>
        </w:rPr>
        <w:t>NGHỊ ĐỊNH 10/2015/NĐ-CP QUY ĐỊNH VỀ SINH CON BẰNG KỸ THUẬT THỤ TINH TRONG ỐNG NGHIỆM</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10/2015/NĐ-CP</w:t>
      </w:r>
    </w:p>
    <w:p>
      <w:r>
        <w:rPr>
          <w:rFonts w:ascii="Times New Roman" w:hAnsi="Times New Roman"/>
          <w:b/>
          <w:sz w:val="24"/>
        </w:rPr>
        <w:t xml:space="preserve">Ngày ban hành: </w:t>
      </w:r>
      <w:r>
        <w:rPr>
          <w:rFonts w:ascii="Times New Roman" w:hAnsi="Times New Roman"/>
          <w:sz w:val="24"/>
        </w:rPr>
        <w:t>28/01/2015</w:t>
      </w:r>
    </w:p>
    <w:p>
      <w:r>
        <w:rPr>
          <w:rFonts w:ascii="Times New Roman" w:hAnsi="Times New Roman"/>
          <w:b/>
          <w:sz w:val="24"/>
        </w:rPr>
        <w:t xml:space="preserve">Lĩnh vực: </w:t>
      </w:r>
      <w:r>
        <w:rPr>
          <w:rFonts w:ascii="Times New Roman" w:hAnsi="Times New Roman"/>
          <w:sz w:val="24"/>
        </w:rPr>
        <w:t>Luật Hôn nhân và Gia đình</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10/2015/NĐ-CP quy định về sinh con bằng kỹ thuật thụ tinh trong ống nghiệm và điều kiện mang thai hộ vì mục đích nhân đạo. Quy định điều kiện, quyền và nghĩa vụ của các bên trong việc mang thai hộ.</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21:50:40</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