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Pr>
        <w:jc w:val="center"/>
      </w:pPr>
      <w:r>
        <w:rPr>
          <w:sz w:val="20"/>
        </w:rPr>
        <w:t>─────────────────────</w:t>
      </w:r>
    </w:p>
    <w:p/>
    <w:p>
      <w:pPr>
        <w:jc w:val="center"/>
      </w:pPr>
      <w:r>
        <w:rPr>
          <w:rFonts w:ascii="Times New Roman" w:hAnsi="Times New Roman"/>
          <w:sz w:val="26"/>
        </w:rPr>
        <w:t>Số: 126/2014/NĐ-CP</w:t>
      </w:r>
    </w:p>
    <w:p>
      <w:pPr>
        <w:jc w:val="center"/>
      </w:pPr>
      <w:r>
        <w:rPr>
          <w:rFonts w:ascii="Times New Roman" w:hAnsi="Times New Roman"/>
          <w:i/>
          <w:sz w:val="24"/>
        </w:rPr>
        <w:t>Ngày ban hành: 31/12/2014</w:t>
      </w:r>
    </w:p>
    <w:p/>
    <w:p>
      <w:pPr>
        <w:jc w:val="center"/>
      </w:pPr>
      <w:r>
        <w:rPr>
          <w:rFonts w:ascii="Times New Roman" w:hAnsi="Times New Roman"/>
          <w:b/>
          <w:color w:val="00008B"/>
          <w:sz w:val="28"/>
        </w:rPr>
        <w:t>NGHỊ ĐỊNH 126/2014/NĐ-CP HƯỚNG DẪN LUẬT HÔN NHÂN VÀ GIA ĐÌNH</w:t>
      </w:r>
    </w:p>
    <w:p/>
    <w:p>
      <w:pPr>
        <w:jc w:val="left"/>
      </w:pPr>
    </w:p>
    <w:p>
      <w:r>
        <w:rPr>
          <w:rFonts w:ascii="Times New Roman" w:hAnsi="Times New Roman"/>
          <w:b/>
          <w:sz w:val="24"/>
        </w:rPr>
        <w:t xml:space="preserve">Loại văn bản: </w:t>
      </w:r>
      <w:r>
        <w:rPr>
          <w:rFonts w:ascii="Times New Roman" w:hAnsi="Times New Roman"/>
          <w:sz w:val="24"/>
        </w:rPr>
        <w:t>Nghị định</w:t>
      </w:r>
    </w:p>
    <w:p>
      <w:r>
        <w:rPr>
          <w:rFonts w:ascii="Times New Roman" w:hAnsi="Times New Roman"/>
          <w:b/>
          <w:sz w:val="24"/>
        </w:rPr>
        <w:t xml:space="preserve">Số hiệu: </w:t>
      </w:r>
      <w:r>
        <w:rPr>
          <w:rFonts w:ascii="Times New Roman" w:hAnsi="Times New Roman"/>
          <w:sz w:val="24"/>
        </w:rPr>
        <w:t>126/2014/NĐ-CP</w:t>
      </w:r>
    </w:p>
    <w:p>
      <w:r>
        <w:rPr>
          <w:rFonts w:ascii="Times New Roman" w:hAnsi="Times New Roman"/>
          <w:b/>
          <w:sz w:val="24"/>
        </w:rPr>
        <w:t xml:space="preserve">Ngày ban hành: </w:t>
      </w:r>
      <w:r>
        <w:rPr>
          <w:rFonts w:ascii="Times New Roman" w:hAnsi="Times New Roman"/>
          <w:sz w:val="24"/>
        </w:rPr>
        <w:t>31/12/2014</w:t>
      </w:r>
    </w:p>
    <w:p>
      <w:r>
        <w:rPr>
          <w:rFonts w:ascii="Times New Roman" w:hAnsi="Times New Roman"/>
          <w:b/>
          <w:sz w:val="24"/>
        </w:rPr>
        <w:t xml:space="preserve">Lĩnh vực: </w:t>
      </w:r>
      <w:r>
        <w:rPr>
          <w:rFonts w:ascii="Times New Roman" w:hAnsi="Times New Roman"/>
          <w:sz w:val="24"/>
        </w:rPr>
        <w:t>Luật Hôn nhân và Gia đình</w:t>
      </w:r>
    </w:p>
    <w:p>
      <w:r>
        <w:rPr>
          <w:rFonts w:ascii="Times New Roman" w:hAnsi="Times New Roman"/>
          <w:b/>
          <w:sz w:val="24"/>
        </w:rPr>
        <w:t xml:space="preserve">Nguồn: </w:t>
      </w:r>
      <w:r>
        <w:rPr>
          <w:rFonts w:ascii="Times New Roman" w:hAnsi="Times New Roman"/>
          <w:sz w:val="24"/>
        </w:rPr>
        <w:t>Cơ sở dữ liệu quốc gia về pháp luật (vbpl.vn)</w:t>
      </w:r>
    </w:p>
    <w:p>
      <w:pPr>
        <w:jc w:val="center"/>
      </w:pPr>
      <w:r>
        <w:rPr>
          <w:color w:val="808080"/>
          <w:sz w:val="20"/>
        </w:rPr>
        <w:t>══════════════════════════════════════════════════</w:t>
      </w:r>
    </w:p>
    <w:p/>
    <w:p>
      <w:pPr>
        <w:jc w:val="center"/>
      </w:pPr>
      <w:r>
        <w:rPr>
          <w:rFonts w:ascii="Times New Roman" w:hAnsi="Times New Roman"/>
          <w:b/>
          <w:sz w:val="28"/>
        </w:rPr>
        <w:t>NỘI DUNG VĂN BẢN</w:t>
      </w:r>
    </w:p>
    <w:p/>
    <w:p>
      <w:r>
        <w:rPr>
          <w:rFonts w:ascii="Times New Roman" w:hAnsi="Times New Roman"/>
          <w:sz w:val="26"/>
        </w:rPr>
        <w:t>Nghị định 126/2014/NĐ-CP quy định chi tiết một số điều và biện pháp thi hành Luật Hôn nhân và Gia đình, bao gồm các quy định về kết hôn, ly hôn, quyền và nghĩa vụ giữa vợ chồng, cha mẹ và con.</w:t>
      </w:r>
    </w:p>
    <w:p/>
    <w:p>
      <w:pPr>
        <w:jc w:val="center"/>
      </w:pPr>
      <w:r>
        <w:rPr>
          <w:color w:val="808080"/>
          <w:sz w:val="16"/>
        </w:rPr>
        <w:t>────────────────────────────────────────</w:t>
      </w:r>
    </w:p>
    <w:p>
      <w:pPr>
        <w:jc w:val="center"/>
      </w:pPr>
      <w:r>
        <w:rPr>
          <w:rFonts w:ascii="Times New Roman" w:hAnsi="Times New Roman"/>
          <w:i/>
          <w:color w:val="808080"/>
          <w:sz w:val="18"/>
        </w:rPr>
        <w:t>Văn bản này được tải về từ Cơ sở dữ liệu quốc gia về pháp luật (vbpl.vn)</w:t>
        <w:br/>
        <w:t>Thời gian tải: 14/06/2026 21:50:40</w:t>
        <w:br/>
        <w:t>Lưu ý: Kiểm tra hiệu lực văn bản trước khi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