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135/2020/NĐ-CP</w:t>
      </w:r>
    </w:p>
    <w:p>
      <w:pPr>
        <w:jc w:val="center"/>
      </w:pPr>
      <w:r>
        <w:rPr>
          <w:rFonts w:ascii="Times New Roman" w:hAnsi="Times New Roman"/>
          <w:i/>
          <w:sz w:val="24"/>
        </w:rPr>
        <w:t>Ngày ban hành: 18/11/2020</w:t>
      </w:r>
    </w:p>
    <w:p/>
    <w:p>
      <w:pPr>
        <w:jc w:val="center"/>
      </w:pPr>
      <w:r>
        <w:rPr>
          <w:rFonts w:ascii="Times New Roman" w:hAnsi="Times New Roman"/>
          <w:b/>
          <w:color w:val="00008B"/>
          <w:sz w:val="28"/>
        </w:rPr>
        <w:t>NGHỊ ĐỊNH 135/2020/NĐ-CP QUY ĐỊNH VỀ TUỔI NGHỈ HƯU</w:t>
      </w:r>
    </w:p>
    <w:p/>
    <w:p>
      <w:pPr>
        <w:jc w:val="left"/>
      </w:pPr>
    </w:p>
    <w:p>
      <w:r>
        <w:rPr>
          <w:rFonts w:ascii="Times New Roman" w:hAnsi="Times New Roman"/>
          <w:b/>
          <w:sz w:val="24"/>
        </w:rPr>
        <w:t xml:space="preserve">Loại văn bản: </w:t>
      </w:r>
      <w:r>
        <w:rPr>
          <w:rFonts w:ascii="Times New Roman" w:hAnsi="Times New Roman"/>
          <w:sz w:val="24"/>
        </w:rPr>
        <w:t>Nghị định</w:t>
      </w:r>
    </w:p>
    <w:p>
      <w:r>
        <w:rPr>
          <w:rFonts w:ascii="Times New Roman" w:hAnsi="Times New Roman"/>
          <w:b/>
          <w:sz w:val="24"/>
        </w:rPr>
        <w:t xml:space="preserve">Số hiệu: </w:t>
      </w:r>
      <w:r>
        <w:rPr>
          <w:rFonts w:ascii="Times New Roman" w:hAnsi="Times New Roman"/>
          <w:sz w:val="24"/>
        </w:rPr>
        <w:t>135/2020/NĐ-CP</w:t>
      </w:r>
    </w:p>
    <w:p>
      <w:r>
        <w:rPr>
          <w:rFonts w:ascii="Times New Roman" w:hAnsi="Times New Roman"/>
          <w:b/>
          <w:sz w:val="24"/>
        </w:rPr>
        <w:t xml:space="preserve">Ngày ban hành: </w:t>
      </w:r>
      <w:r>
        <w:rPr>
          <w:rFonts w:ascii="Times New Roman" w:hAnsi="Times New Roman"/>
          <w:sz w:val="24"/>
        </w:rPr>
        <w:t>18/11/2020</w:t>
      </w:r>
    </w:p>
    <w:p>
      <w:r>
        <w:rPr>
          <w:rFonts w:ascii="Times New Roman" w:hAnsi="Times New Roman"/>
          <w:b/>
          <w:sz w:val="24"/>
        </w:rPr>
        <w:t xml:space="preserve">Lĩnh vực: </w:t>
      </w:r>
      <w:r>
        <w:rPr>
          <w:rFonts w:ascii="Times New Roman" w:hAnsi="Times New Roman"/>
          <w:sz w:val="24"/>
        </w:rPr>
        <w:t>Luật Lao động</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Nghị định 135/2020/NĐ-CP quy định về tuổi nghỉ hưu đối với người lao động theo lộ trình tăng tuổi nghỉ hưu từ năm 2021 đến khi đạt 62 tuổi đối với lao động nam (vào năm 2028) và 60 tuổi đối với lao động nữ (vào năm 2035).</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21:50:46</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