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5988886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667000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6060494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3206845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4937760" cy="6246795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2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901722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858510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1706562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4254110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144</w:t>
      </w:r>
    </w:p>
    <w:p>
      <w:pPr>
        <w:numPr>
          <w:ilvl w:val="0"/>
          <w:numId w:val="1006"/>
        </w:numPr>
      </w:pPr>
      <w:r>
        <w:t xml:space="preserve">144 - номер строки</w:t>
      </w:r>
    </w:p>
    <w:p>
      <w:pPr>
        <w:numPr>
          <w:ilvl w:val="0"/>
          <w:numId w:val="1006"/>
        </w:numPr>
      </w:pPr>
      <w:r>
        <w:t xml:space="preserve">000000BB - адрес</w:t>
      </w:r>
    </w:p>
    <w:p>
      <w:pPr>
        <w:numPr>
          <w:ilvl w:val="0"/>
          <w:numId w:val="1006"/>
        </w:numPr>
      </w:pPr>
      <w:r>
        <w:t xml:space="preserve">80EB30 - машинный код</w:t>
      </w:r>
    </w:p>
    <w:p>
      <w:pPr>
        <w:numPr>
          <w:ilvl w:val="0"/>
          <w:numId w:val="1006"/>
        </w:numPr>
      </w:pPr>
      <w:r>
        <w:t xml:space="preserve">sub bl, 48 - код программы</w:t>
      </w:r>
    </w:p>
    <w:p>
      <w:pPr>
        <w:pStyle w:val="FirstParagraph"/>
      </w:pPr>
      <w:r>
        <w:t xml:space="preserve">строка 145</w:t>
      </w:r>
    </w:p>
    <w:p>
      <w:pPr>
        <w:numPr>
          <w:ilvl w:val="0"/>
          <w:numId w:val="1007"/>
        </w:numPr>
      </w:pPr>
      <w:r>
        <w:t xml:space="preserve">145 - номер строки</w:t>
      </w:r>
    </w:p>
    <w:p>
      <w:pPr>
        <w:numPr>
          <w:ilvl w:val="0"/>
          <w:numId w:val="1007"/>
        </w:numPr>
      </w:pPr>
      <w:r>
        <w:t xml:space="preserve">000000BE - адрес</w:t>
      </w:r>
    </w:p>
    <w:p>
      <w:pPr>
        <w:numPr>
          <w:ilvl w:val="0"/>
          <w:numId w:val="1007"/>
        </w:numPr>
      </w:pPr>
      <w:r>
        <w:t xml:space="preserve">01D8 - машинный код</w:t>
      </w:r>
    </w:p>
    <w:p>
      <w:pPr>
        <w:numPr>
          <w:ilvl w:val="0"/>
          <w:numId w:val="1007"/>
        </w:numPr>
      </w:pPr>
      <w:r>
        <w:t xml:space="preserve">add eax, ebx - код программы</w:t>
      </w:r>
    </w:p>
    <w:p>
      <w:pPr>
        <w:pStyle w:val="FirstParagraph"/>
      </w:pPr>
      <w:r>
        <w:t xml:space="preserve">строка 146</w:t>
      </w:r>
    </w:p>
    <w:p>
      <w:pPr>
        <w:numPr>
          <w:ilvl w:val="0"/>
          <w:numId w:val="1008"/>
        </w:numPr>
      </w:pPr>
      <w:r>
        <w:t xml:space="preserve">146 - номер строки</w:t>
      </w:r>
    </w:p>
    <w:p>
      <w:pPr>
        <w:numPr>
          <w:ilvl w:val="0"/>
          <w:numId w:val="1008"/>
        </w:numPr>
      </w:pPr>
      <w:r>
        <w:t xml:space="preserve">000000C0 - адрес</w:t>
      </w:r>
    </w:p>
    <w:p>
      <w:pPr>
        <w:numPr>
          <w:ilvl w:val="0"/>
          <w:numId w:val="1008"/>
        </w:numPr>
      </w:pPr>
      <w:r>
        <w:t xml:space="preserve">BB0A000000 - машинный код</w:t>
      </w:r>
    </w:p>
    <w:p>
      <w:pPr>
        <w:numPr>
          <w:ilvl w:val="0"/>
          <w:numId w:val="1008"/>
        </w:numPr>
      </w:pPr>
      <w:r>
        <w:t xml:space="preserve">mov ebx, 10 -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1345513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4342550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10 - 41,62,35</w:t>
      </w:r>
    </w:p>
    <w:p>
      <w:pPr>
        <w:pStyle w:val="CaptionedFigure"/>
      </w:pPr>
      <w:bookmarkStart w:id="70" w:name="fig:012"/>
      <w:r>
        <w:drawing>
          <wp:inline>
            <wp:extent cx="5334000" cy="5350642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453251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5640551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1957948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Хассан Факи Абакар</dc:creator>
  <dc:language>ru-RU</dc:language>
  <cp:keywords/>
  <dcterms:created xsi:type="dcterms:W3CDTF">2022-12-03T12:27:14Z</dcterms:created>
  <dcterms:modified xsi:type="dcterms:W3CDTF">2022-12-03T12:27:14Z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