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Исследование протокола TCP и алгоритма управления очередью RED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RED;</w:t>
      </w:r>
    </w:p>
    <w:p>
      <w:pPr>
        <w:pStyle w:val="Compact"/>
        <w:numPr>
          <w:ilvl w:val="0"/>
          <w:numId w:val="1001"/>
        </w:numPr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6 узлов;</w:t>
      </w:r>
    </w:p>
    <w:p>
      <w:pPr>
        <w:pStyle w:val="Compact"/>
        <w:numPr>
          <w:ilvl w:val="0"/>
          <w:numId w:val="1002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1002"/>
        </w:numPr>
      </w:pPr>
      <w:r>
        <w:t xml:space="preserve"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 1), а также график изменения длины очереди</w:t>
      </w:r>
      <w:r>
        <w:t xml:space="preserve"> </w:t>
      </w:r>
      <w:r>
        <w:t xml:space="preserve">и средней длины очереди (рис. 2).</w:t>
      </w:r>
    </w:p>
    <w:bookmarkStart w:id="25" w:name="fig:001"/>
    <w:p>
      <w:pPr>
        <w:pStyle w:val="CaptionedFigure"/>
      </w:pPr>
      <w:r>
        <w:drawing>
          <wp:inline>
            <wp:extent cx="3733800" cy="3208968"/>
            <wp:effectExtent b="0" l="0" r="0" t="0"/>
            <wp:docPr descr="Рис. 1: 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динамики размера окна TCP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3343471"/>
            <wp:effectExtent b="0" l="0" r="0" t="0"/>
            <wp:docPr descr="Рис. 2: График динамики длины очереди и средней длины очеред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динамики длины очереди и средней длины очереди</w:t>
      </w:r>
    </w:p>
    <w:bookmarkEnd w:id="29"/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6" w:name="изменение-протокола-t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3), а также график изменения длины очереди</w:t>
      </w:r>
      <w:r>
        <w:t xml:space="preserve"> </w:t>
      </w:r>
      <w:r>
        <w:t xml:space="preserve">и средней длины очереди (рис. 4).</w:t>
      </w:r>
    </w:p>
    <w:bookmarkStart w:id="33" w:name="fig:003"/>
    <w:p>
      <w:pPr>
        <w:pStyle w:val="CaptionedFigure"/>
      </w:pPr>
      <w:r>
        <w:drawing>
          <wp:inline>
            <wp:extent cx="3733800" cy="3857640"/>
            <wp:effectExtent b="0" l="0" r="0" t="0"/>
            <wp:docPr descr="Рис. 3: График динамики размера окна TCP. Тип NewReno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динамики размера окна TCP. Тип NewReno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3883651"/>
            <wp:effectExtent b="0" l="0" r="0" t="0"/>
            <wp:docPr descr="Рис. 4: График динамики длины очереди и средней длины очереди. Тип NewReno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динамики длины очереди и средней длины очереди. Тип NewReno</w:t>
      </w:r>
    </w:p>
    <w:bookmarkEnd w:id="37"/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5), а также график изменения длины очереди</w:t>
      </w:r>
      <w:r>
        <w:t xml:space="preserve"> </w:t>
      </w:r>
      <w:r>
        <w:t xml:space="preserve">и средней длины очереди (рис. 6).</w:t>
      </w:r>
    </w:p>
    <w:bookmarkStart w:id="41" w:name="fig:005"/>
    <w:p>
      <w:pPr>
        <w:pStyle w:val="CaptionedFigure"/>
      </w:pPr>
      <w:r>
        <w:drawing>
          <wp:inline>
            <wp:extent cx="3733800" cy="3901820"/>
            <wp:effectExtent b="0" l="0" r="0" t="0"/>
            <wp:docPr descr="Рис. 5: График динамики размера окна TCP. Тип Vegas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динамики размера окна TCP. Тип Vegas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3864048"/>
            <wp:effectExtent b="0" l="0" r="0" t="0"/>
            <wp:docPr descr="Рис. 6: График динамики длины очереди и средней длины очереди. Тип Vegas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динамики длины очереди и средней длины очереди. Тип Vegas</w:t>
      </w:r>
    </w:p>
    <w:bookmarkEnd w:id="45"/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6"/>
    <w:bookmarkStart w:id="55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puts $f "1.Color: Pink"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\n\"Sr_Ochered"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 &amp;</w:t>
      </w:r>
      <w:r>
        <w:br/>
      </w:r>
      <w:r>
        <w:rPr>
          <w:rStyle w:val="VerbatimChar"/>
        </w:rPr>
        <w:t xml:space="preserve">exec xgraph -fg white -bg purple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В результате получим следующие график изменения TCP-окна (рис. 7), а также график изменения длины очереди</w:t>
      </w:r>
      <w:r>
        <w:t xml:space="preserve"> </w:t>
      </w:r>
      <w:r>
        <w:t xml:space="preserve">и средней длины очереди (рис. 8).</w:t>
      </w:r>
    </w:p>
    <w:bookmarkStart w:id="50" w:name="fig:007"/>
    <w:p>
      <w:pPr>
        <w:pStyle w:val="CaptionedFigure"/>
      </w:pPr>
      <w:r>
        <w:drawing>
          <wp:inline>
            <wp:extent cx="3733800" cy="3757431"/>
            <wp:effectExtent b="0" l="0" r="0" t="0"/>
            <wp:docPr descr="Рис. 7: График динамики размера окна TCP с изменением отображения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динамики размера окна TCP с изменением отображения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3877648"/>
            <wp:effectExtent b="0" l="0" r="0" t="0"/>
            <wp:docPr descr="Рис. 8: График динамики длины очереди и средней длины очереди с изменением отображен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динамики длины очереди и средней длины очереди с изменением отображения</w:t>
      </w:r>
    </w:p>
    <w:bookmarkEnd w:id="54"/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исследовала протокол TCP и алгоритм управления очередью RED.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Хассан Факи Абакар</dc:creator>
  <dc:language>ru-RU</dc:language>
  <cp:keywords/>
  <dcterms:created xsi:type="dcterms:W3CDTF">2025-03-31T02:54:03Z</dcterms:created>
  <dcterms:modified xsi:type="dcterms:W3CDTF">2025-03-31T02:54:03Z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Исследование протокола TCP и алгоритма управления очередью RED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