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9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bookmarkStart w:id="26" w:name="fig:001"/>
    <w:p>
      <w:pPr>
        <w:pStyle w:val="CaptionedFigure"/>
      </w:pPr>
      <w:r>
        <w:drawing>
          <wp:inline>
            <wp:extent cx="3733800" cy="3097413"/>
            <wp:effectExtent b="0" l="0" r="0" t="0"/>
            <wp:docPr descr="Рис. 1: 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bookmarkEnd w:id="26"/>
    <w:p>
      <w:pPr>
        <w:pStyle w:val="BodyText"/>
      </w:pPr>
      <w:r>
        <w:t xml:space="preserve">После запуска симуляции получим отчёт (рис. 2).</w:t>
      </w:r>
    </w:p>
    <w:bookmarkStart w:id="30" w:name="fig:002"/>
    <w:p>
      <w:pPr>
        <w:pStyle w:val="CaptionedFigure"/>
      </w:pPr>
      <w:r>
        <w:drawing>
          <wp:inline>
            <wp:extent cx="3733800" cy="4366362"/>
            <wp:effectExtent b="0" l="0" r="0" t="0"/>
            <wp:docPr descr="Рис. 2: Отчёт по модели первой стратегии обслужи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bookmarkEnd w:id="30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bookmarkStart w:id="34" w:name="fig:003"/>
    <w:p>
      <w:pPr>
        <w:pStyle w:val="CaptionedFigure"/>
      </w:pPr>
      <w:r>
        <w:drawing>
          <wp:inline>
            <wp:extent cx="3733800" cy="1575663"/>
            <wp:effectExtent b="0" l="0" r="0" t="0"/>
            <wp:docPr descr="Рис. 3: Модель второй стратегии обслужива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418832"/>
            <wp:effectExtent b="0" l="0" r="0" t="0"/>
            <wp:docPr descr="Рис. 4: Отчет по модели второй стратегии обслужи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bookmarkEnd w:id="38"/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/>
          <w:bCs/>
        </w:rPr>
        <w:t xml:space="preserve">¿tbl:strategy?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9"/>
    <w:bookmarkStart w:id="80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bookmarkStart w:id="43" w:name="fig:005"/>
    <w:p>
      <w:pPr>
        <w:pStyle w:val="CaptionedFigure"/>
      </w:pPr>
      <w:r>
        <w:drawing>
          <wp:inline>
            <wp:extent cx="3733800" cy="1425493"/>
            <wp:effectExtent b="0" l="0" r="0" t="0"/>
            <wp:docPr descr="Рис. 5: Модель двух стратегий обслуживания с 1 пропускным пунктом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bookmarkEnd w:id="43"/>
    <w:p>
      <w:pPr>
        <w:pStyle w:val="BodyText"/>
      </w:pPr>
      <w:r>
        <w:t xml:space="preserve">После симуляции получим следующий отчет (рис. 5).</w:t>
      </w:r>
    </w:p>
    <w:bookmarkStart w:id="47" w:name="fig:006"/>
    <w:p>
      <w:pPr>
        <w:pStyle w:val="CaptionedFigure"/>
      </w:pPr>
      <w:r>
        <w:drawing>
          <wp:inline>
            <wp:extent cx="3733800" cy="3132273"/>
            <wp:effectExtent b="0" l="0" r="0" t="0"/>
            <wp:docPr descr="Рис. 6: Отчёт по модели двух стратегий обслуживания с 1 пропускным пунктом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bookmarkEnd w:id="47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bookmarkStart w:id="51" w:name="fig:007"/>
    <w:p>
      <w:pPr>
        <w:pStyle w:val="CaptionedFigure"/>
      </w:pPr>
      <w:r>
        <w:drawing>
          <wp:inline>
            <wp:extent cx="3733800" cy="2517781"/>
            <wp:effectExtent b="0" l="0" r="0" t="0"/>
            <wp:docPr descr="Рис. 7: Модель первой стратегии обслуживания с 3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4016235"/>
            <wp:effectExtent b="0" l="0" r="0" t="0"/>
            <wp:docPr descr="Рис. 8: Отчёт по модели первой стратегии обслуживания с 3 пропускными пунктам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bookmarkEnd w:id="55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bookmarkStart w:id="59" w:name="fig:009"/>
    <w:p>
      <w:pPr>
        <w:pStyle w:val="CaptionedFigure"/>
      </w:pPr>
      <w:r>
        <w:drawing>
          <wp:inline>
            <wp:extent cx="3733800" cy="2764412"/>
            <wp:effectExtent b="0" l="0" r="0" t="0"/>
            <wp:docPr descr="Рис. 9: Модель первой стратегии обслуживания с 4 пропускными пунктам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2464869"/>
            <wp:effectExtent b="0" l="0" r="0" t="0"/>
            <wp:docPr descr="Рис. 10: Отчёт по модели перв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первой стратегии обслуживания с 4 пропускными пунктами</w:t>
      </w:r>
    </w:p>
    <w:bookmarkEnd w:id="63"/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bookmarkStart w:id="67" w:name="fig:011"/>
    <w:p>
      <w:pPr>
        <w:pStyle w:val="CaptionedFigure"/>
      </w:pPr>
      <w:r>
        <w:drawing>
          <wp:inline>
            <wp:extent cx="3733800" cy="2206024"/>
            <wp:effectExtent b="0" l="0" r="0" t="0"/>
            <wp:docPr descr="Рис. 11: Модель второй стратегии обслуживания с 3 пропускными пунктам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второй стратегии обслуживания с 3 пропускными пунктами</w:t>
      </w:r>
    </w:p>
    <w:bookmarkEnd w:id="67"/>
    <w:bookmarkStart w:id="71" w:name="fig:012"/>
    <w:p>
      <w:pPr>
        <w:pStyle w:val="CaptionedFigure"/>
      </w:pPr>
      <w:r>
        <w:drawing>
          <wp:inline>
            <wp:extent cx="3733800" cy="2901497"/>
            <wp:effectExtent b="0" l="0" r="0" t="0"/>
            <wp:docPr descr="Рис. 12: Отчёт по модели второй стратегии обслуживания с 3 пропускными пункт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второй стратегии обслуживания с 3 пропускными пунктами</w:t>
      </w:r>
    </w:p>
    <w:bookmarkEnd w:id="71"/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bookmarkStart w:id="75" w:name="fig:013"/>
    <w:p>
      <w:pPr>
        <w:pStyle w:val="CaptionedFigure"/>
      </w:pPr>
      <w:r>
        <w:drawing>
          <wp:inline>
            <wp:extent cx="3733800" cy="2066702"/>
            <wp:effectExtent b="0" l="0" r="0" t="0"/>
            <wp:docPr descr="Рис. 13: Модель второй стратегии обслуживания с 4 пропускными пункт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второй стратегии обслуживания с 4 пропускными пунктами</w:t>
      </w:r>
    </w:p>
    <w:bookmarkEnd w:id="75"/>
    <w:bookmarkStart w:id="79" w:name="fig:014"/>
    <w:p>
      <w:pPr>
        <w:pStyle w:val="CaptionedFigure"/>
      </w:pPr>
      <w:r>
        <w:drawing>
          <wp:inline>
            <wp:extent cx="3733800" cy="2531861"/>
            <wp:effectExtent b="0" l="0" r="0" t="0"/>
            <wp:docPr descr="Рис. 14: Отчёт по модели второй стратегии обслуживания с 4 пропускными пункта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второй стратегии обслуживания с 4 пропускными пунктами</w:t>
      </w:r>
    </w:p>
    <w:bookmarkEnd w:id="79"/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Хассан Факи Абакар</dc:creator>
  <dc:language>ru-RU</dc:language>
  <cp:keywords/>
  <dcterms:created xsi:type="dcterms:W3CDTF">2025-05-09T02:36:35Z</dcterms:created>
  <dcterms:modified xsi:type="dcterms:W3CDTF">2025-05-09T02:36:35Z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Задачи оптимизации. Модель двух стратегий обслуживания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