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2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9.png" ContentType="image/png"/>
  <Override PartName="/word/media/rId45.png" ContentType="image/png"/>
  <Override PartName="/word/media/rId53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ЗАХВАТ</w:t>
      </w:r>
      <w:r>
        <w:t xml:space="preserve"> </w:t>
      </w:r>
      <w:r>
        <w:t xml:space="preserve">ПОЧТОВОГО</w:t>
      </w:r>
      <w:r>
        <w:t xml:space="preserve"> </w:t>
      </w:r>
      <w:r>
        <w:t xml:space="preserve">СЕРВЕРА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Проверить на учебном стенде защищённость почтового сервера Microsoft Exchange методом имитации реальной цепочки атаки: от разведки и фингерпринтинга до валидации наличия известных уязвимостей и подтверждения возможности удалённого выполнения кода (RCE).</w:t>
      </w:r>
      <w:r>
        <w:br/>
      </w:r>
      <w:r>
        <w:t xml:space="preserve">В качестве итогового артефакта — получить доказательство проникновения (флаг) и подготовить рекомендации по устранению обнаруженных рисков.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Выполнить разведку сети и обнаружить активные хосты в подсети</w:t>
      </w:r>
      <w:r>
        <w:t xml:space="preserve"> </w:t>
      </w:r>
      <w:r>
        <w:rPr>
          <w:rStyle w:val="VerbatimChar"/>
        </w:rPr>
        <w:t xml:space="preserve">195.239.174.0/24</w:t>
      </w:r>
      <w:r>
        <w:t xml:space="preserve">. Зафиксировать открытые порты и сервисы, представляющие интерес для почтовой инфраструктуры.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Идентифицировать веб-интерфейс OWA / почтовый сервис на целевом хосте (</w:t>
      </w:r>
      <w:r>
        <w:rPr>
          <w:rStyle w:val="VerbatimChar"/>
        </w:rPr>
        <w:t xml:space="preserve">195.239.174.1</w:t>
      </w:r>
      <w:r>
        <w:t xml:space="preserve">) и собрать информацию, необходимую для фингерпринтинга версии сервера (страницы, ресурсы, заголовки).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Сопоставить найденную версию сборки Exchange с публичными базами уязвимостей (CVE, KB, EPSS) и выбрать приоритетные CVE для дальнейшей проверки (фильтр: CVSS ≥ 9, наличие пометок</w:t>
      </w:r>
      <w:r>
        <w:t xml:space="preserve"> </w:t>
      </w:r>
      <w:r>
        <w:rPr>
          <w:rStyle w:val="VerbatimChar"/>
        </w:rPr>
        <w:t xml:space="preserve">Public exploit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Known exploited</w:t>
      </w:r>
      <w:r>
        <w:t xml:space="preserve">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 лабораторной среде проверить наличие верифицируемых векторов (символически — через готовые модули фреймворков), подтвердить возможность получения интерактивной сессии на целевой системе</w:t>
      </w:r>
      <w:r>
        <w:t xml:space="preserve"> </w:t>
      </w:r>
      <w:r>
        <w:rPr>
          <w:bCs/>
          <w:b/>
        </w:rPr>
        <w:t xml:space="preserve">только в рамках разрешённого стенда</w:t>
      </w:r>
      <w:r>
        <w:t xml:space="preserve">. Зафиксировать найденный флаг и все артефакты.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Подготовить отчёт: выводы по разведке, соответствие сборки уязвимостям, полученные артефакты (скриншоты, логи), оценку риска и практические рекомендации по устранению и предотвращению повторной компрометации.</w:t>
      </w:r>
    </w:p>
    <w:bookmarkEnd w:id="21"/>
    <w:bookmarkStart w:id="29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поверхность-атаки-microsoft-exchang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Поверхность атаки Microsoft Exchange</w:t>
      </w:r>
    </w:p>
    <w:p>
      <w:pPr>
        <w:pStyle w:val="FirstParagraph"/>
      </w:pPr>
      <w:r>
        <w:t xml:space="preserve">Microsoft Exchange — комплексный почтовый сервер с компонентами, доступными по сети (SMTP, OWA, EWS, Autodiscover и т. д.). Наличие публичного веб-интерфейса (OWA) и сервисов, обрабатывающих удалённые запросы, делает Exchange привлекательной целью: уязвимости в обработке внешних запросов могут привести к обходу аутентификации или удалённому выполнению кода.</w:t>
      </w:r>
    </w:p>
    <w:bookmarkEnd w:id="22"/>
    <w:bookmarkStart w:id="23" w:name="классы-уязвимостей-применимых-к-exchang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Классы уязвимостей, применимых к Exchange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SSRF (Server-Side Request Forgery)</w:t>
      </w:r>
      <w:r>
        <w:t xml:space="preserve"> </w:t>
      </w:r>
      <w:r>
        <w:t xml:space="preserve">— позволяет злоумышленнику вынудить сервер выполнить запросы к внутренним конечным точкам от имени сервера (основной вектор ProxyLogon — CVE-2021-26855).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Привилегированная эскалация / подделка контекста</w:t>
      </w:r>
      <w:r>
        <w:t xml:space="preserve"> </w:t>
      </w:r>
      <w:r>
        <w:t xml:space="preserve">— уязвимости, позволяющие выдавать себя за сервисную учётную запись или переключать контекст (см. CVE-2021-34523 и CVE-2021-31207).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Запись произвольного файла / web-shell / RCE</w:t>
      </w:r>
      <w:r>
        <w:t xml:space="preserve"> </w:t>
      </w:r>
      <w:r>
        <w:t xml:space="preserve">— возможность записать на сервер файл, который затем может выполнить код (CVE-2021-34473 и связанные CVE), обеспечивая полноценную удалённую эксплуатацию.</w:t>
      </w:r>
    </w:p>
    <w:bookmarkEnd w:id="23"/>
    <w:bookmarkStart w:id="24" w:name="оценка-риска-cvss-и-eps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Оценка риска: CVSS и EPSS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CVSS (Common Vulnerability Scoring System)</w:t>
      </w:r>
      <w:r>
        <w:t xml:space="preserve"> </w:t>
      </w:r>
      <w:r>
        <w:t xml:space="preserve">предоставляет количественную оценку критичности уязвимости (конфиденциальность, целостность, доступность, сложность эксплуатации и т.д.). Значения ≥ 9 указывают на критические уязвимости.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EPSS (Exploit Prediction Scoring System)</w:t>
      </w:r>
      <w:r>
        <w:t xml:space="preserve"> </w:t>
      </w:r>
      <w:r>
        <w:t xml:space="preserve">измеряет вероятность реальной эксплуатации уязвимости в ближайшие 30 дней — высокий EPSS указывает на практическую опасность (наличие публичных PoC/эксплойтов или активность в дикой природе).</w:t>
      </w:r>
    </w:p>
    <w:bookmarkEnd w:id="24"/>
    <w:bookmarkStart w:id="25" w:name="инструменты-разведки-и-фингерпринтинг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Инструменты разведки и фингерпринтинга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Сетевое сканирование</w:t>
      </w:r>
      <w:r>
        <w:t xml:space="preserve"> </w:t>
      </w:r>
      <w:r>
        <w:t xml:space="preserve">(идентификация хостов и открытых портов) — помогает найти сервисы, доступные извне (SMTP, HTTPS и др.).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Фингерпринтинг веб-интерфейса</w:t>
      </w:r>
      <w:r>
        <w:t xml:space="preserve"> </w:t>
      </w:r>
      <w:r>
        <w:t xml:space="preserve">— анализ HTML/ресурсов и HTTP-заголовков для определения версии приложения/сборки; DevTools браузера и заголовки ответа помогают установить соответствие версии с таблицами сборок.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Базы уязвимостей</w:t>
      </w:r>
      <w:r>
        <w:t xml:space="preserve"> </w:t>
      </w:r>
      <w:r>
        <w:t xml:space="preserve">— CVE, CVEdetails, Microsoft Security Bulletins, CISA KEV: используются для поиска известных проблем, дат раскрытия и наличия публичных эксплойтов.</w:t>
      </w:r>
    </w:p>
    <w:bookmarkEnd w:id="25"/>
    <w:bookmarkStart w:id="26" w:name="фреймворки-для-проверк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Фреймворки для проверки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Metasploit</w:t>
      </w:r>
      <w:r>
        <w:t xml:space="preserve"> </w:t>
      </w:r>
      <w:r>
        <w:t xml:space="preserve">— фреймворк, содержащий модули для поиска, валидации и (в тестовой среде) эксплуатации уязвимостей. В образовательном и тестовом контексте Metasploit позволяет подтвердить наличие работоспособного вектора и собрать артефакты.</w:t>
      </w:r>
      <w:r>
        <w:br/>
      </w:r>
      <w:r>
        <w:t xml:space="preserve">&gt; Важно: использование эксплойтов и активная эксплуатация допускаются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в лабораторных условиях или с явного письменного разрешения владельца инфраструктуры. Незаконное использование — преступление.</w:t>
      </w:r>
    </w:p>
    <w:bookmarkEnd w:id="26"/>
    <w:bookmarkStart w:id="27" w:name="постэксплуатация-и-артефакты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6. Постэксплуатация и артефакты</w:t>
      </w:r>
    </w:p>
    <w:p>
      <w:pPr>
        <w:pStyle w:val="FirstParagraph"/>
      </w:pPr>
      <w:r>
        <w:t xml:space="preserve">После успешной эксплуатации атакующий может получить интерактивную сессию (например, Meterpreter), что позволяет: просматривать файловую систему, извлекать конфиденциальные данные, устанавливать постоянные механизмы доступа (backdoor) и выполнять дальнейшее перемещение по сети. Для отчёта важны: логи соединений, снимки экрана, содержимое целевых файлов (флаг), хэши и временные метки действий.</w:t>
      </w:r>
    </w:p>
    <w:bookmarkEnd w:id="27"/>
    <w:bookmarkStart w:id="28" w:name="меры-защиты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7. Меры защиты</w:t>
      </w:r>
    </w:p>
    <w:p>
      <w:pPr>
        <w:numPr>
          <w:ilvl w:val="0"/>
          <w:numId w:val="1006"/>
        </w:numPr>
        <w:pStyle w:val="Compact"/>
      </w:pPr>
      <w:r>
        <w:t xml:space="preserve">Регулярно применять security updates / cumulative updates для Exchange.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Ограничить доступ к OWA/EWS (WAF, ACL, IP-фильтрация), внедрить MFA для административных аккаунтов.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Мониторинг: IDS/IPS/WAF правила для выявления попыток эксплуатации ProxyLogon/ProxyShell, анализ аномалий в журналах Exchange и IIS.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Форензика и инцидент-респонс: собрать логи, образ памяти, и провести проверку на web-shells и следы постэксплуатации при подозрениях на компрометацию.</w:t>
      </w:r>
    </w:p>
    <w:bookmarkEnd w:id="28"/>
    <w:bookmarkEnd w:id="29"/>
    <w:bookmarkStart w:id="10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0" w:name="описание-сценар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Описание сценария</w:t>
      </w:r>
    </w:p>
    <w:p>
      <w:pPr>
        <w:pStyle w:val="FirstParagraph"/>
      </w:pPr>
      <w:r>
        <w:t xml:space="preserve">На внешнем периметре расположен почтовый сервер организации, необходимо получить доступ к флагу, расположенному в папке</w:t>
      </w:r>
      <w:r>
        <w:t xml:space="preserve"> </w:t>
      </w:r>
      <w:r>
        <w:rPr>
          <w:rStyle w:val="VerbatimChar"/>
        </w:rPr>
        <w:t xml:space="preserve">С:Windows\system32\</w:t>
      </w:r>
      <w:r>
        <w:t xml:space="preserve">.</w:t>
      </w:r>
    </w:p>
    <w:bookmarkEnd w:id="30"/>
    <w:bookmarkStart w:id="77" w:name="разведка-на-предмет-поиска-вектора-атак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Разведка на предмет поиска вектора атаки</w:t>
      </w:r>
    </w:p>
    <w:p>
      <w:pPr>
        <w:pStyle w:val="FirstParagraph"/>
      </w:pPr>
      <w:r>
        <w:t xml:space="preserve">Для обнаружения потенциальных целей и оценки поверхности атаки выполнены сканирование подсети и анализ веб-интерфейса. В качестве инструментов использовались: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веб-браузер с DevTools (режим «Inspect»), поиск по базам уязвимостей (CVEdetails).</w:t>
      </w:r>
    </w:p>
    <w:p>
      <w:pPr>
        <w:pStyle w:val="BodyText"/>
      </w:pPr>
      <w:r>
        <w:rPr>
          <w:bCs/>
          <w:b/>
        </w:rPr>
        <w:t xml:space="preserve">Инструменты и фильтры:</w:t>
      </w:r>
      <w:r>
        <w:br/>
      </w:r>
      <w:r>
        <w:rPr>
          <w:rStyle w:val="VerbatimChar"/>
        </w:rPr>
        <w:t xml:space="preserve">nmap -sS -p- 195.239.174.0/24</w:t>
      </w:r>
      <w:r>
        <w:t xml:space="preserve">, просмотр веб-страниц через HTTPS с включённым режимом разработчика, сверка сборок Exchange с KB и CVE.</w:t>
      </w:r>
    </w:p>
    <w:bookmarkStart w:id="35" w:name="X953872b07f5b3df9074cac65aee6e28510ab553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Инцидент 1: Обнаружение почтового сервера (Exchange) на</w:t>
      </w:r>
      <w:r>
        <w:t xml:space="preserve"> </w:t>
      </w:r>
      <w:r>
        <w:rPr>
          <w:rStyle w:val="VerbatimChar"/>
        </w:rPr>
        <w:t xml:space="preserve">195.239.174.1</w:t>
      </w:r>
    </w:p>
    <w:p>
      <w:pPr>
        <w:pStyle w:val="FirstParagraph"/>
      </w:pPr>
      <w:r>
        <w:rPr>
          <w:bCs/>
          <w:b/>
        </w:rPr>
        <w:t xml:space="preserve">Что произошло:</w:t>
      </w:r>
      <w:r>
        <w:br/>
      </w:r>
      <w:r>
        <w:t xml:space="preserve">В результате сканирования подсети</w:t>
      </w:r>
      <w:r>
        <w:t xml:space="preserve"> </w:t>
      </w:r>
      <w:r>
        <w:rPr>
          <w:rStyle w:val="VerbatimChar"/>
        </w:rPr>
        <w:t xml:space="preserve">195.239.174.0/24</w:t>
      </w:r>
      <w:r>
        <w:t xml:space="preserve"> </w:t>
      </w:r>
      <w:r>
        <w:t xml:space="preserve">(утилита</w:t>
      </w:r>
      <w:r>
        <w:t xml:space="preserve"> </w:t>
      </w:r>
      <w:r>
        <w:rPr>
          <w:rStyle w:val="VerbatimChar"/>
        </w:rPr>
        <w:t xml:space="preserve">nmap</w:t>
      </w:r>
      <w:r>
        <w:t xml:space="preserve">) был обнаружен хост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 </w:t>
      </w:r>
      <w:r>
        <w:t xml:space="preserve">с открытыми портами</w:t>
      </w:r>
      <w:r>
        <w:t xml:space="preserve"> </w:t>
      </w:r>
      <w:r>
        <w:rPr>
          <w:bCs/>
          <w:b/>
        </w:rPr>
        <w:t xml:space="preserve">25/tcp (smtp)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443/tcp (https)</w:t>
      </w:r>
      <w:r>
        <w:t xml:space="preserve"> </w:t>
      </w:r>
      <w:r>
        <w:t xml:space="preserve">— признак наличия почтового сервера с веб-интерфейсом OWA (Outlook Web Access). (рис. fig. 1, fig. 7)</w:t>
      </w:r>
    </w:p>
    <w:p>
      <w:pPr>
        <w:pStyle w:val="BodyText"/>
      </w:pPr>
      <w:r>
        <w:rPr>
          <w:bCs/>
          <w:b/>
        </w:rPr>
        <w:t xml:space="preserve">Что это означает:</w:t>
      </w:r>
      <w:r>
        <w:br/>
      </w:r>
      <w:r>
        <w:t xml:space="preserve">Наличие SMTP и HTTPS на одном хосте сильно коррелирует с развёрнутым Microsoft Exchange. Публичный OWA делает сервер потенциальной целью для известных уязвимостей (например, ProxyLogon), что позволяет атакующему получить доступ к почтовым ящикам и выполнить пост-эксплуатационные операции.</w:t>
      </w:r>
    </w:p>
    <w:p>
      <w:pPr>
        <w:pStyle w:val="BodyText"/>
      </w:pPr>
      <w:r>
        <w:rPr>
          <w:bCs/>
          <w:b/>
        </w:rPr>
        <w:t xml:space="preserve">Индикаторы и артефакты:</w:t>
      </w:r>
      <w:r>
        <w:br/>
      </w:r>
      <w:r>
        <w:t xml:space="preserve">- IP цели: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.</w:t>
      </w:r>
      <w:r>
        <w:br/>
      </w:r>
      <w:r>
        <w:t xml:space="preserve">- Открытые порты:</w:t>
      </w:r>
      <w:r>
        <w:t xml:space="preserve"> </w:t>
      </w:r>
      <w:r>
        <w:rPr>
          <w:rStyle w:val="VerbatimChar"/>
        </w:rPr>
        <w:t xml:space="preserve">25/tcp</w:t>
      </w:r>
      <w:r>
        <w:t xml:space="preserve">,</w:t>
      </w:r>
      <w:r>
        <w:t xml:space="preserve"> </w:t>
      </w:r>
      <w:r>
        <w:rPr>
          <w:rStyle w:val="VerbatimChar"/>
        </w:rPr>
        <w:t xml:space="preserve">443/tcp</w:t>
      </w:r>
      <w:r>
        <w:t xml:space="preserve">.</w:t>
      </w:r>
      <w:r>
        <w:br/>
      </w:r>
      <w:r>
        <w:t xml:space="preserve">- Инструмент: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(см. вывод сканирования).</w:t>
      </w:r>
      <w:r>
        <w:br/>
      </w:r>
      <w:r>
        <w:t xml:space="preserve">- Веб-интерфейс:</w:t>
      </w:r>
      <w:r>
        <w:t xml:space="preserve"> </w:t>
      </w:r>
      <w:r>
        <w:rPr>
          <w:rStyle w:val="VerbatimChar"/>
        </w:rPr>
        <w:t xml:space="preserve">https://195.239.174.1/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Рекомендации:</w:t>
      </w:r>
      <w:r>
        <w:br/>
      </w:r>
      <w:r>
        <w:t xml:space="preserve">1. Сохранить лог сканирования</w:t>
      </w:r>
      <w:r>
        <w:t xml:space="preserve"> </w:t>
      </w:r>
      <w:r>
        <w:rPr>
          <w:rStyle w:val="VerbatimChar"/>
        </w:rPr>
        <w:t xml:space="preserve">nmap</w:t>
      </w:r>
      <w:r>
        <w:t xml:space="preserve">.</w:t>
      </w:r>
      <w:r>
        <w:br/>
      </w:r>
      <w:r>
        <w:t xml:space="preserve">2. Ограничить доступ к OWA (ACL/WAF, MFA).</w:t>
      </w:r>
      <w:r>
        <w:br/>
      </w:r>
      <w:r>
        <w:t xml:space="preserve">3. Развернуть фронтенд/proxy для OWA и настроить мониторинг HTTPS-доступа.</w:t>
      </w:r>
    </w:p>
    <w:p>
      <w:pPr>
        <w:pStyle w:val="BodyText"/>
      </w:pPr>
      <w:r>
        <w:t xml:space="preserve">(рис. fig. 1)</w:t>
      </w:r>
    </w:p>
    <w:p>
      <w:pPr>
        <w:pStyle w:val="CaptionedFigure"/>
      </w:pPr>
      <w:bookmarkStart w:id="34" w:name="fig:02"/>
      <w:r>
        <w:drawing>
          <wp:inline>
            <wp:extent cx="5334000" cy="6613883"/>
            <wp:effectExtent b="0" l="0" r="0" t="0"/>
            <wp:docPr descr="Рис. 1: Результат сканирования сети — вывод nmap, обнаружены порты 25 и 443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1: Результат сканирования сети — вывод nmap, обнаружены порты 25 и 443</w:t>
      </w:r>
    </w:p>
    <w:bookmarkEnd w:id="35"/>
    <w:bookmarkStart w:id="44" w:name="Xcba5943ef69a5e2d9026db47af9f231b0802345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Инцидент 2: Фингерпринтинг версии Exchange через DevTools</w:t>
      </w:r>
    </w:p>
    <w:p>
      <w:pPr>
        <w:pStyle w:val="FirstParagraph"/>
      </w:pPr>
      <w:r>
        <w:rPr>
          <w:bCs/>
          <w:b/>
        </w:rPr>
        <w:t xml:space="preserve">Что произошло:</w:t>
      </w:r>
      <w:r>
        <w:br/>
      </w:r>
      <w:r>
        <w:t xml:space="preserve">Через веб-интерфейс OWA открыта панель разработчика (Inspect) и проанализированы HTML/ресурсы страницы — обнаружены маркеры, позволяющие идентифицировать версию/сборку Exchange (атрибуты в</w:t>
      </w:r>
      <w:r>
        <w:t xml:space="preserve"> </w:t>
      </w:r>
      <w:r>
        <w:rPr>
          <w:rStyle w:val="VerbatimChar"/>
        </w:rPr>
        <w:t xml:space="preserve">link</w:t>
      </w:r>
      <w:r>
        <w:t xml:space="preserve">/</w:t>
      </w:r>
      <w:r>
        <w:rPr>
          <w:rStyle w:val="VerbatimChar"/>
        </w:rPr>
        <w:t xml:space="preserve">script</w:t>
      </w:r>
      <w:r>
        <w:t xml:space="preserve">, комментарии). (рис. fig. 2, fig. 3)</w:t>
      </w:r>
    </w:p>
    <w:p>
      <w:pPr>
        <w:pStyle w:val="BodyText"/>
      </w:pPr>
      <w:r>
        <w:rPr>
          <w:bCs/>
          <w:b/>
        </w:rPr>
        <w:t xml:space="preserve">Что это означает:</w:t>
      </w:r>
      <w:r>
        <w:br/>
      </w:r>
      <w:r>
        <w:t xml:space="preserve">Определение точной версии (например,</w:t>
      </w:r>
      <w:r>
        <w:t xml:space="preserve"> </w:t>
      </w:r>
      <w:r>
        <w:rPr>
          <w:rStyle w:val="VerbatimChar"/>
        </w:rPr>
        <w:t xml:space="preserve">15.1.1713</w:t>
      </w:r>
      <w:r>
        <w:t xml:space="preserve">) позволяет соотнести инсталляцию с известными исправлениями и CVE. Если сборка совпадает с уязвимой (до применения KB5000871 и т.п.), сервер может быть уязвим к эксплойтам ProxyLogon и связанным уязвимостям.</w:t>
      </w:r>
    </w:p>
    <w:p>
      <w:pPr>
        <w:pStyle w:val="BodyText"/>
      </w:pPr>
      <w:r>
        <w:rPr>
          <w:bCs/>
          <w:b/>
        </w:rPr>
        <w:t xml:space="preserve">Индикаторы и артефакты:</w:t>
      </w:r>
      <w:r>
        <w:br/>
      </w:r>
      <w:r>
        <w:t xml:space="preserve">- Метод: правый клик →</w:t>
      </w:r>
      <w:r>
        <w:t xml:space="preserve"> </w:t>
      </w:r>
      <w:r>
        <w:rPr>
          <w:iCs/>
          <w:i/>
        </w:rPr>
        <w:t xml:space="preserve">Inspect (Q)</w:t>
      </w:r>
      <w:r>
        <w:t xml:space="preserve"> </w:t>
      </w:r>
      <w:r>
        <w:t xml:space="preserve">→ просмотр HTML/ресурсов.</w:t>
      </w:r>
      <w:r>
        <w:br/>
      </w:r>
      <w:r>
        <w:t xml:space="preserve">- Найденные маркеры версии: выделенные строки/ресурсы в DevTools (см. рис. fig. 3).</w:t>
      </w:r>
      <w:r>
        <w:br/>
      </w:r>
      <w:r>
        <w:t xml:space="preserve">- Примеры связанных KB:</w:t>
      </w:r>
      <w:r>
        <w:t xml:space="preserve"> </w:t>
      </w:r>
      <w:r>
        <w:rPr>
          <w:rStyle w:val="VerbatimChar"/>
        </w:rPr>
        <w:t xml:space="preserve">KB5000871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Рекомендации:</w:t>
      </w:r>
      <w:r>
        <w:br/>
      </w:r>
      <w:r>
        <w:t xml:space="preserve">1. Снять снапшот DevTools и сохранить HTML/ресурсы.</w:t>
      </w:r>
      <w:r>
        <w:br/>
      </w:r>
      <w:r>
        <w:t xml:space="preserve">2. Получить HTTP-заголовки (</w:t>
      </w:r>
      <w:r>
        <w:rPr>
          <w:rStyle w:val="VerbatimChar"/>
        </w:rPr>
        <w:t xml:space="preserve">curl --head</w:t>
      </w:r>
      <w:r>
        <w:t xml:space="preserve">) для подтверждения.</w:t>
      </w:r>
      <w:r>
        <w:br/>
      </w:r>
      <w:r>
        <w:t xml:space="preserve">3. Сверить сборку с официальной таблицей Microsoft и применить недостающие security updates.</w:t>
      </w:r>
    </w:p>
    <w:p>
      <w:pPr>
        <w:pStyle w:val="BodyText"/>
      </w:pPr>
      <w:r>
        <w:t xml:space="preserve">(рис. fig. 2, fig. 3)</w:t>
      </w:r>
    </w:p>
    <w:p>
      <w:pPr>
        <w:pStyle w:val="CaptionedFigure"/>
      </w:pPr>
      <w:bookmarkStart w:id="39" w:name="fig:04"/>
      <w:r>
        <w:drawing>
          <wp:inline>
            <wp:extent cx="5334000" cy="3199799"/>
            <wp:effectExtent b="0" l="0" r="0" t="0"/>
            <wp:docPr descr="Рис. 2: Получение версии Exchange через режим разработчика — «Inspect (Q)»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2: Получение версии Exchange через режим разработчика — «Inspect (Q)»</w:t>
      </w:r>
    </w:p>
    <w:p>
      <w:pPr>
        <w:pStyle w:val="CaptionedFigure"/>
      </w:pPr>
      <w:bookmarkStart w:id="43" w:name="fig:05"/>
      <w:r>
        <w:drawing>
          <wp:inline>
            <wp:extent cx="5334000" cy="3204010"/>
            <wp:effectExtent b="0" l="0" r="0" t="0"/>
            <wp:docPr descr="Рис. 3: Анализ HTML/ресурсов в DevTools — выделение строки с ресурсом/версией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3: Анализ HTML/ресурсов в DevTools — выделение строки с ресурсом/версией</w:t>
      </w:r>
    </w:p>
    <w:bookmarkEnd w:id="44"/>
    <w:bookmarkStart w:id="67" w:name="X7e63256995e597aea6b87c407f518da0dd5c949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Инцидент 3: Сопоставление сборки с бюллетенями и CVE</w:t>
      </w:r>
    </w:p>
    <w:p>
      <w:pPr>
        <w:pStyle w:val="FirstParagraph"/>
      </w:pPr>
      <w:r>
        <w:rPr>
          <w:bCs/>
          <w:b/>
        </w:rPr>
        <w:t xml:space="preserve">Что произошло:</w:t>
      </w:r>
      <w:r>
        <w:br/>
      </w:r>
      <w:r>
        <w:t xml:space="preserve">По найденной сборке произведён поиск в справочных источниках Microsoft и в базе CVE (CVEdetails). На скриншотах видны таблицы сборок Exchange и соответствующие KB (включая</w:t>
      </w:r>
      <w:r>
        <w:t xml:space="preserve"> </w:t>
      </w:r>
      <w:r>
        <w:rPr>
          <w:rStyle w:val="VerbatimChar"/>
        </w:rPr>
        <w:t xml:space="preserve">KB5000871</w:t>
      </w:r>
      <w:r>
        <w:t xml:space="preserve"> </w:t>
      </w:r>
      <w:r>
        <w:t xml:space="preserve">и сборку</w:t>
      </w:r>
      <w:r>
        <w:t xml:space="preserve"> </w:t>
      </w:r>
      <w:r>
        <w:rPr>
          <w:rStyle w:val="VerbatimChar"/>
        </w:rPr>
        <w:t xml:space="preserve">15.1.1713</w:t>
      </w:r>
      <w:r>
        <w:t xml:space="preserve">). (рис. fig. 4, fig. 5, fig. 6)</w:t>
      </w:r>
    </w:p>
    <w:p>
      <w:pPr>
        <w:pStyle w:val="BodyText"/>
      </w:pPr>
      <w:r>
        <w:rPr>
          <w:bCs/>
          <w:b/>
        </w:rPr>
        <w:t xml:space="preserve">Что это означает:</w:t>
      </w:r>
      <w:r>
        <w:br/>
      </w:r>
      <w:r>
        <w:t xml:space="preserve">Если развернутая версия совпадает с небезопасной сборкой, сервер подлежит немедленной проверке и экстренному обновлению. Наличие соответствующих CVE (например, CVE-2021-26855) увеличивает риск эксплуатации.</w:t>
      </w:r>
    </w:p>
    <w:p>
      <w:pPr>
        <w:pStyle w:val="BodyText"/>
      </w:pPr>
      <w:r>
        <w:rPr>
          <w:bCs/>
          <w:b/>
        </w:rPr>
        <w:t xml:space="preserve">Индикаторы и артефакты:</w:t>
      </w:r>
      <w:r>
        <w:br/>
      </w:r>
      <w:r>
        <w:t xml:space="preserve">- Обнаруженные версии/сборки:</w:t>
      </w:r>
      <w:r>
        <w:t xml:space="preserve"> </w:t>
      </w:r>
      <w:r>
        <w:rPr>
          <w:rStyle w:val="VerbatimChar"/>
        </w:rPr>
        <w:t xml:space="preserve">15.1.1713</w:t>
      </w:r>
      <w:r>
        <w:t xml:space="preserve">.</w:t>
      </w:r>
      <w:r>
        <w:br/>
      </w:r>
      <w:r>
        <w:t xml:space="preserve">- Сопутствующие KB:</w:t>
      </w:r>
      <w:r>
        <w:t xml:space="preserve"> </w:t>
      </w:r>
      <w:r>
        <w:rPr>
          <w:rStyle w:val="VerbatimChar"/>
        </w:rPr>
        <w:t xml:space="preserve">KB5000871</w:t>
      </w:r>
      <w:r>
        <w:t xml:space="preserve">.</w:t>
      </w:r>
      <w:r>
        <w:br/>
      </w:r>
      <w:r>
        <w:t xml:space="preserve">- Источники:</w:t>
      </w:r>
      <w:r>
        <w:t xml:space="preserve"> </w:t>
      </w:r>
      <w:r>
        <w:rPr>
          <w:rStyle w:val="VerbatimChar"/>
        </w:rPr>
        <w:t xml:space="preserve">cvedetails.com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Рекомендации:</w:t>
      </w:r>
      <w:r>
        <w:br/>
      </w:r>
      <w:r>
        <w:t xml:space="preserve">1. Проверить установленные обновления на сервере (PowerShell:</w:t>
      </w:r>
      <w:r>
        <w:t xml:space="preserve"> </w:t>
      </w:r>
      <w:r>
        <w:rPr>
          <w:rStyle w:val="VerbatimChar"/>
        </w:rPr>
        <w:t xml:space="preserve">Get-ExchangeServer | Format-List Name,AdminDisplayVersion</w:t>
      </w:r>
      <w:r>
        <w:t xml:space="preserve">).</w:t>
      </w:r>
      <w:r>
        <w:br/>
      </w:r>
      <w:r>
        <w:t xml:space="preserve">2. При отсутствии патчей — провести экстренное применение security updates (с резервной копией и тестированием).</w:t>
      </w:r>
      <w:r>
        <w:br/>
      </w:r>
      <w:r>
        <w:t xml:space="preserve">3. При признаках компрометации — изолировать сервер, собрать логи (IIS, Application, Security), дампы памяти и запустить IOC-сканирование на web-shells и признаки ProxyLogon.</w:t>
      </w:r>
    </w:p>
    <w:p>
      <w:pPr>
        <w:pStyle w:val="BodyText"/>
      </w:pPr>
      <w:r>
        <w:t xml:space="preserve">(рис. fig. 4, fig. 5, fig. 6)</w:t>
      </w:r>
    </w:p>
    <w:p>
      <w:pPr>
        <w:pStyle w:val="CaptionedFigure"/>
      </w:pPr>
      <w:bookmarkStart w:id="48" w:name="fig:06"/>
      <w:r>
        <w:drawing>
          <wp:inline>
            <wp:extent cx="5334000" cy="4371066"/>
            <wp:effectExtent b="0" l="0" r="0" t="0"/>
            <wp:docPr descr="Рис. 4: Дата выпуска сборки Exchange Server и сопоставление с номерами сборок/KB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4: Дата выпуска сборки Exchange Server и сопоставление с номерами сборок/KB</w:t>
      </w:r>
    </w:p>
    <w:p>
      <w:pPr>
        <w:pStyle w:val="CaptionedFigure"/>
      </w:pPr>
      <w:bookmarkStart w:id="52" w:name="fig:06.1"/>
      <w:r>
        <w:drawing>
          <wp:inline>
            <wp:extent cx="5334000" cy="4361961"/>
            <wp:effectExtent b="0" l="0" r="0" t="0"/>
            <wp:docPr descr="Рис. 5: Таблица соответствия Exchange CU → номер сборки (выделено 15.01.1713)" title="" id="50" name="Picture"/>
            <a:graphic>
              <a:graphicData uri="http://schemas.openxmlformats.org/drawingml/2006/picture">
                <pic:pic>
                  <pic:nvPicPr>
                    <pic:cNvPr descr="image/6.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5: Таблица соответствия Exchange CU → номер сборки (выделено 15.01.1713)</w:t>
      </w:r>
    </w:p>
    <w:p>
      <w:pPr>
        <w:pStyle w:val="CaptionedFigure"/>
      </w:pPr>
      <w:bookmarkStart w:id="56" w:name="fig:07"/>
      <w:r>
        <w:drawing>
          <wp:inline>
            <wp:extent cx="5334000" cy="3333750"/>
            <wp:effectExtent b="0" l="0" r="0" t="0"/>
            <wp:docPr descr="Рис. 6: Стартовая страница CVEdetails — поиск и справочные данные по уязвимостям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6: Стартовая страница CVEdetails — поиск и справочные данные по уязвимостям</w:t>
      </w:r>
    </w:p>
    <w:p>
      <w:pPr>
        <w:pStyle w:val="BodyText"/>
      </w:pPr>
      <w:r>
        <w:t xml:space="preserve">Для оценки возможности эксплуатации использовалась база CVE (CVEdetails) с фильтром по продукту</w:t>
      </w:r>
      <w:r>
        <w:t xml:space="preserve"> </w:t>
      </w:r>
      <w:r>
        <w:rPr>
          <w:bCs/>
          <w:b/>
        </w:rPr>
        <w:t xml:space="preserve">Microsoft Exchange Server</w:t>
      </w:r>
      <w:r>
        <w:t xml:space="preserve"> </w:t>
      </w:r>
      <w:r>
        <w:t xml:space="preserve">и порогом</w:t>
      </w:r>
      <w:r>
        <w:t xml:space="preserve"> </w:t>
      </w:r>
      <w:r>
        <w:rPr>
          <w:bCs/>
          <w:b/>
        </w:rPr>
        <w:t xml:space="preserve">CVSS &gt;= 9</w:t>
      </w:r>
      <w:r>
        <w:t xml:space="preserve">. Это позволило выделить уязвимости с высокой степенью риска и метками наличия публичных эксплойтов / фактов эксплуатации в дикой природе (public exploit exists / Known exploited). (рис. fig. 7)</w:t>
      </w:r>
    </w:p>
    <w:p>
      <w:pPr>
        <w:numPr>
          <w:ilvl w:val="0"/>
          <w:numId w:val="1007"/>
        </w:numPr>
        <w:pStyle w:val="Compact"/>
      </w:pPr>
      <w:r>
        <w:t xml:space="preserve">Методика: фильтр CVSS ≥ 9 → сортировка по меткам «Public exploit» / «Known exploited» → просмотр подробностей CVE (дата раскрытия, EPSS, наличие модулей Metasploit).</w:t>
      </w:r>
    </w:p>
    <w:bookmarkStart w:id="61" w:name="X940097176585bc60cf00fe242d36e4fb1e85e58"/>
    <w:p>
      <w:pPr>
        <w:pStyle w:val="Heading4"/>
      </w:pPr>
      <w:r>
        <w:rPr>
          <w:rStyle w:val="SectionNumber"/>
        </w:rPr>
        <w:t xml:space="preserve">4.2.3.1</w:t>
      </w:r>
      <w:r>
        <w:tab/>
      </w:r>
      <w:r>
        <w:t xml:space="preserve">Инцидент 4: Приоритезация уязвимостей через CVE-поисковик</w:t>
      </w:r>
    </w:p>
    <w:p>
      <w:pPr>
        <w:pStyle w:val="FirstParagraph"/>
      </w:pPr>
      <w:r>
        <w:rPr>
          <w:bCs/>
          <w:b/>
        </w:rPr>
        <w:t xml:space="preserve">Что произошло:</w:t>
      </w:r>
      <w:r>
        <w:br/>
      </w:r>
      <w:r>
        <w:t xml:space="preserve">На сервере/в окружении была сопоставлена версия Exchange с записями CVE. По результатам фильтрации получен список приоритетных уязвимостей, помеченных как</w:t>
      </w:r>
      <w:r>
        <w:t xml:space="preserve"> </w:t>
      </w:r>
      <w:r>
        <w:rPr>
          <w:bCs/>
          <w:b/>
        </w:rPr>
        <w:t xml:space="preserve">Public exploit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Known exploited</w:t>
      </w:r>
      <w:r>
        <w:t xml:space="preserve"> </w:t>
      </w:r>
      <w:r>
        <w:t xml:space="preserve">— их эксплуатация доказана на практике. (рис. fig. 7)</w:t>
      </w:r>
    </w:p>
    <w:p>
      <w:pPr>
        <w:pStyle w:val="BodyText"/>
      </w:pPr>
      <w:r>
        <w:rPr>
          <w:bCs/>
          <w:b/>
        </w:rPr>
        <w:t xml:space="preserve">Что это означает:</w:t>
      </w:r>
      <w:r>
        <w:br/>
      </w:r>
      <w:r>
        <w:t xml:space="preserve">Если дата раскрытия уязвимости (</w:t>
      </w:r>
      <w:r>
        <w:rPr>
          <w:iCs/>
          <w:i/>
        </w:rPr>
        <w:t xml:space="preserve">Disclosure Date</w:t>
      </w:r>
      <w:r>
        <w:t xml:space="preserve">) позже даты выпуска сборки сервера — значит уязвимость не была исправлена в этой сборке и может быть эксплуатируема против указанного сервера. Наличие публичного эксплойта (и особенно — модуля Metasploit) значительно упрощает автоматизацию атаки и повышает приоритет реагирования. (рис. fig. 8, fig. </w:t>
      </w:r>
      <w:r>
        <w:rPr>
          <w:bCs/>
          <w:b/>
        </w:rPr>
        <w:t xml:space="preserve">¿fig:10?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Индикаторы и артефакты:</w:t>
      </w:r>
      <w:r>
        <w:br/>
      </w:r>
      <w:r>
        <w:t xml:space="preserve">- Источник разведки:</w:t>
      </w:r>
      <w:r>
        <w:t xml:space="preserve"> </w:t>
      </w:r>
      <w:r>
        <w:rPr>
          <w:rStyle w:val="VerbatimChar"/>
        </w:rPr>
        <w:t xml:space="preserve">cvedetails.com</w:t>
      </w:r>
      <w:r>
        <w:t xml:space="preserve">.</w:t>
      </w:r>
      <w:r>
        <w:br/>
      </w:r>
      <w:r>
        <w:t xml:space="preserve">- Примеры CVE с высокой вероятностью эксплуатации:</w:t>
      </w:r>
      <w:r>
        <w:t xml:space="preserve"> </w:t>
      </w:r>
      <w:r>
        <w:rPr>
          <w:rStyle w:val="VerbatimChar"/>
        </w:rPr>
        <w:t xml:space="preserve">CVE-2021-34473</w:t>
      </w:r>
      <w:r>
        <w:t xml:space="preserve">,</w:t>
      </w:r>
      <w:r>
        <w:t xml:space="preserve"> </w:t>
      </w:r>
      <w:r>
        <w:rPr>
          <w:rStyle w:val="VerbatimChar"/>
        </w:rPr>
        <w:t xml:space="preserve">CVE-2021-34523</w:t>
      </w:r>
      <w:r>
        <w:t xml:space="preserve">,</w:t>
      </w:r>
      <w:r>
        <w:t xml:space="preserve"> </w:t>
      </w:r>
      <w:r>
        <w:rPr>
          <w:rStyle w:val="VerbatimChar"/>
        </w:rPr>
        <w:t xml:space="preserve">CVE-2021-34527</w:t>
      </w:r>
      <w:r>
        <w:t xml:space="preserve"> </w:t>
      </w:r>
      <w:r>
        <w:t xml:space="preserve">(см. страницы CVE — EPSS/метасплоит-модули). (рис. fig. 8, fig. </w:t>
      </w:r>
      <w:r>
        <w:rPr>
          <w:bCs/>
          <w:b/>
        </w:rPr>
        <w:t xml:space="preserve">¿fig:10?</w:t>
      </w:r>
      <w:r>
        <w:t xml:space="preserve">)</w:t>
      </w:r>
      <w:r>
        <w:br/>
      </w:r>
      <w:r>
        <w:t xml:space="preserve">- Метки:</w:t>
      </w:r>
      <w:r>
        <w:t xml:space="preserve"> </w:t>
      </w:r>
      <w:r>
        <w:rPr>
          <w:rStyle w:val="VerbatimChar"/>
        </w:rPr>
        <w:t xml:space="preserve">Public exploit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Known exploited</w:t>
      </w:r>
      <w:r>
        <w:t xml:space="preserve">, EPSS &gt; 90% — повышенный риск. (рис. fig. 8)</w:t>
      </w:r>
    </w:p>
    <w:p>
      <w:pPr>
        <w:pStyle w:val="BodyText"/>
      </w:pPr>
      <w:r>
        <w:rPr>
          <w:bCs/>
          <w:b/>
        </w:rPr>
        <w:t xml:space="preserve">Рекомендации:</w:t>
      </w:r>
      <w:r>
        <w:br/>
      </w:r>
      <w:r>
        <w:t xml:space="preserve">1. Немедленно сверить список CVE с реальной версией сервера (как минимум — календарная дата сборки против даты публикации CVE).</w:t>
      </w:r>
      <w:r>
        <w:br/>
      </w:r>
      <w:r>
        <w:t xml:space="preserve">2. Сфокусировать первичную защиту и проверку на уязвимостях с метками</w:t>
      </w:r>
      <w:r>
        <w:t xml:space="preserve"> </w:t>
      </w:r>
      <w:r>
        <w:rPr>
          <w:rStyle w:val="VerbatimChar"/>
        </w:rPr>
        <w:t xml:space="preserve">Public exploit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Known exploited</w:t>
      </w:r>
      <w:r>
        <w:t xml:space="preserve">.</w:t>
      </w:r>
      <w:r>
        <w:br/>
      </w:r>
      <w:r>
        <w:t xml:space="preserve">3. При обнаружении соответствия — подготовить план экстренного патч-менеджмента и расследования на предмет следов эксплуатации.</w:t>
      </w:r>
    </w:p>
    <w:p>
      <w:pPr>
        <w:pStyle w:val="BodyText"/>
      </w:pPr>
      <w:r>
        <w:t xml:space="preserve">(рис. fig. 7)</w:t>
      </w:r>
    </w:p>
    <w:p>
      <w:pPr>
        <w:pStyle w:val="CaptionedFigure"/>
      </w:pPr>
      <w:bookmarkStart w:id="60" w:name="fig:08"/>
      <w:r>
        <w:drawing>
          <wp:inline>
            <wp:extent cx="5334000" cy="3001279"/>
            <wp:effectExtent b="0" l="0" r="0" t="0"/>
            <wp:docPr descr="Рис. 7: Приоритезация уязвимостей Microsoft Exchange Server (CVSS &gt;= 9)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7: Приоритезация уязвимостей Microsoft Exchange Server (CVSS &gt;= 9)</w:t>
      </w:r>
    </w:p>
    <w:bookmarkEnd w:id="61"/>
    <w:bookmarkStart w:id="66" w:name="детальная-проверка-cve-пример"/>
    <w:p>
      <w:pPr>
        <w:pStyle w:val="Heading4"/>
      </w:pPr>
      <w:r>
        <w:rPr>
          <w:rStyle w:val="SectionNumber"/>
        </w:rPr>
        <w:t xml:space="preserve">4.2.3.2</w:t>
      </w:r>
      <w:r>
        <w:tab/>
      </w:r>
      <w:r>
        <w:t xml:space="preserve">Детальная проверка CVE (пример)</w:t>
      </w:r>
    </w:p>
    <w:p>
      <w:pPr>
        <w:pStyle w:val="FirstParagraph"/>
      </w:pPr>
      <w:r>
        <w:rPr>
          <w:bCs/>
          <w:b/>
        </w:rPr>
        <w:t xml:space="preserve">Что просмотрено:</w:t>
      </w:r>
      <w:r>
        <w:br/>
      </w:r>
      <w:r>
        <w:t xml:space="preserve">Страницы CVE показывают: EPSS / вероятность эксплуатации, наличие модулей Metasploit и даты —</w:t>
      </w:r>
      <w:r>
        <w:t xml:space="preserve"> </w:t>
      </w:r>
      <w:r>
        <w:rPr>
          <w:iCs/>
          <w:i/>
        </w:rPr>
        <w:t xml:space="preserve">Disclosure Date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First seen</w:t>
      </w:r>
      <w:r>
        <w:t xml:space="preserve"> </w:t>
      </w:r>
      <w:r>
        <w:t xml:space="preserve">(появление эксплойтов в публичных репозиториях). Это даёт временную корреляцию между выпуском сборки сервера и появлением эксплойтов. (рис. fig. 8)</w:t>
      </w:r>
    </w:p>
    <w:p>
      <w:pPr>
        <w:pStyle w:val="BodyText"/>
      </w:pPr>
      <w:r>
        <w:rPr>
          <w:bCs/>
          <w:b/>
        </w:rPr>
        <w:t xml:space="preserve">Вывод:</w:t>
      </w:r>
      <w:r>
        <w:br/>
      </w:r>
      <w:r>
        <w:t xml:space="preserve">Если</w:t>
      </w:r>
      <w:r>
        <w:t xml:space="preserve"> </w:t>
      </w:r>
      <w:r>
        <w:rPr>
          <w:iCs/>
          <w:i/>
        </w:rPr>
        <w:t xml:space="preserve">Disclosure Date</w:t>
      </w:r>
      <w:r>
        <w:t xml:space="preserve"> </w:t>
      </w:r>
      <w:r>
        <w:t xml:space="preserve">(дата раскрытия уязвимости)</w:t>
      </w:r>
      <w:r>
        <w:t xml:space="preserve"> </w:t>
      </w:r>
      <w:r>
        <w:rPr>
          <w:bCs/>
          <w:b/>
        </w:rPr>
        <w:t xml:space="preserve">позже</w:t>
      </w:r>
      <w:r>
        <w:t xml:space="preserve"> </w:t>
      </w:r>
      <w:r>
        <w:t xml:space="preserve">даты сборки сервера — уязвимость может быть использована против текущей установки.</w:t>
      </w:r>
    </w:p>
    <w:p>
      <w:pPr>
        <w:pStyle w:val="BodyText"/>
      </w:pPr>
      <w:r>
        <w:t xml:space="preserve">(рис. fig. 8)</w:t>
      </w:r>
    </w:p>
    <w:p>
      <w:pPr>
        <w:pStyle w:val="CaptionedFigure"/>
      </w:pPr>
      <w:bookmarkStart w:id="65" w:name="fig:09"/>
      <w:r>
        <w:drawing>
          <wp:inline>
            <wp:extent cx="5334000" cy="3355873"/>
            <wp:effectExtent b="0" l="0" r="0" t="0"/>
            <wp:docPr descr="Рис. 8: Детальная информация по уязвимости (пример CVE-2021-34473) — EPSS, Metasploit module, Disclosure/First seen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8: Детальная информация по уязвимости (пример CVE-2021-34473) — EPSS, Metasploit module, Disclosure/First seen</w:t>
      </w:r>
    </w:p>
    <w:bookmarkEnd w:id="66"/>
    <w:bookmarkEnd w:id="67"/>
    <w:bookmarkStart w:id="76" w:name="X530e69689b10c81d46908123ded8a17e19c5df3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Подготовка и использование Metasploit для поиска векторов</w:t>
      </w:r>
    </w:p>
    <w:p>
      <w:pPr>
        <w:pStyle w:val="FirstParagraph"/>
      </w:pPr>
      <w:r>
        <w:t xml:space="preserve">Для практической проверки возможности RCE и получения сессии использовался фреймворк Metasploit:</w:t>
      </w:r>
    </w:p>
    <w:p>
      <w:pPr>
        <w:numPr>
          <w:ilvl w:val="0"/>
          <w:numId w:val="1008"/>
        </w:numPr>
        <w:pStyle w:val="Compact"/>
      </w:pPr>
      <w:r>
        <w:t xml:space="preserve">Запуск msf6 →</w:t>
      </w:r>
      <w:r>
        <w:t xml:space="preserve"> </w:t>
      </w:r>
      <w:r>
        <w:rPr>
          <w:rStyle w:val="VerbatimChar"/>
        </w:rPr>
        <w:t xml:space="preserve">search Exchange</w:t>
      </w:r>
      <w:r>
        <w:t xml:space="preserve"> </w:t>
      </w:r>
      <w:r>
        <w:t xml:space="preserve">→ просмотр доступных модулей (включая</w:t>
      </w:r>
      <w:r>
        <w:t xml:space="preserve"> </w:t>
      </w:r>
      <w:r>
        <w:rPr>
          <w:rStyle w:val="VerbatimChar"/>
        </w:rPr>
        <w:t xml:space="preserve">exchange_proxylogon_rce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exchange_proxyshell_rce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exchange_proxynothell_rce</w:t>
      </w:r>
      <w:r>
        <w:t xml:space="preserve"> </w:t>
      </w:r>
      <w:r>
        <w:t xml:space="preserve">и т.д.). (рис. fig. 9, fig. 10)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Метасплоит-модули подтверждают наличие готовых реализаций эксплойтов для ряда CVE, что облегчает эксплуатацию.</w:t>
      </w:r>
    </w:p>
    <w:p>
      <w:pPr>
        <w:pStyle w:val="FirstParagraph"/>
      </w:pPr>
      <w:r>
        <w:rPr>
          <w:bCs/>
          <w:b/>
        </w:rPr>
        <w:t xml:space="preserve">Индикаторы и артефакты:</w:t>
      </w:r>
      <w:r>
        <w:br/>
      </w:r>
      <w:r>
        <w:t xml:space="preserve">- Локальный вывод Metasploit: список модулей и их даты/статусы (рис. fig. 9).</w:t>
      </w:r>
      <w:r>
        <w:br/>
      </w:r>
      <w:r>
        <w:t xml:space="preserve">- Наличие модулей с пометкой</w:t>
      </w:r>
      <w:r>
        <w:t xml:space="preserve"> </w:t>
      </w:r>
      <w:r>
        <w:rPr>
          <w:rStyle w:val="VerbatimChar"/>
        </w:rPr>
        <w:t xml:space="preserve">excellent/Yes</w:t>
      </w:r>
      <w:r>
        <w:t xml:space="preserve"> </w:t>
      </w:r>
      <w:r>
        <w:t xml:space="preserve">(готов к использованию). (рис. fig. 9)</w:t>
      </w:r>
    </w:p>
    <w:p>
      <w:pPr>
        <w:pStyle w:val="BodyText"/>
      </w:pPr>
      <w:r>
        <w:rPr>
          <w:bCs/>
          <w:b/>
        </w:rPr>
        <w:t xml:space="preserve">Рекомендации:</w:t>
      </w:r>
      <w:r>
        <w:br/>
      </w:r>
      <w:r>
        <w:t xml:space="preserve">1. Использовать Metasploit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в рамках тестовой/лабораторной среды или с письменного разрешения владельца инфраструктуры.</w:t>
      </w:r>
      <w:r>
        <w:br/>
      </w:r>
      <w:r>
        <w:t xml:space="preserve">2. Для проверки уязвимости — сначала выполнить безопасную валидацию без эксплуатации (fingerprinting, запросы HEAD, проверка заголовков, тестирование на тестовом стенде).</w:t>
      </w:r>
      <w:r>
        <w:br/>
      </w:r>
      <w:r>
        <w:t xml:space="preserve">3. При подтверждении уязвимости — подготовить план реагирования: сбор логов, резервное копирование, установка патчей, последующий аудит и мониторинг.</w:t>
      </w:r>
    </w:p>
    <w:p>
      <w:pPr>
        <w:pStyle w:val="BodyText"/>
      </w:pPr>
      <w:r>
        <w:t xml:space="preserve">(рис. fig. 9, fig. 10)</w:t>
      </w:r>
    </w:p>
    <w:p>
      <w:pPr>
        <w:pStyle w:val="CaptionedFigure"/>
      </w:pPr>
      <w:bookmarkStart w:id="71" w:name="fig:11"/>
      <w:r>
        <w:drawing>
          <wp:inline>
            <wp:extent cx="5334000" cy="3590653"/>
            <wp:effectExtent b="0" l="0" r="0" t="0"/>
            <wp:docPr descr="Рис. 9: Запуск Metasploit и поиск модулей по Exchange (вывод search Exchange)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9: Запуск Metasploit и поиск модулей по Exchange (вывод</w:t>
      </w:r>
      <w:r>
        <w:t xml:space="preserve"> </w:t>
      </w:r>
      <w:r>
        <w:rPr>
          <w:rStyle w:val="VerbatimChar"/>
        </w:rPr>
        <w:t xml:space="preserve">search Exchange</w:t>
      </w:r>
      <w:r>
        <w:t xml:space="preserve">)</w:t>
      </w:r>
    </w:p>
    <w:p>
      <w:pPr>
        <w:pStyle w:val="CaptionedFigure"/>
      </w:pPr>
      <w:bookmarkStart w:id="75" w:name="fig:12"/>
      <w:r>
        <w:drawing>
          <wp:inline>
            <wp:extent cx="5334000" cy="3662097"/>
            <wp:effectExtent b="0" l="0" r="0" t="0"/>
            <wp:docPr descr="Рис. 10: Перечень модулей Metasploit, предназначенных для атак на Exchange (выделены модули RCE/ProxyShell/ProxyLogon)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10: Перечень модулей Metasploit, предназначенных для атак на Exchange (выделены модули RCE/ProxyShell/ProxyLogon)</w:t>
      </w:r>
    </w:p>
    <w:bookmarkEnd w:id="76"/>
    <w:bookmarkEnd w:id="77"/>
    <w:bookmarkStart w:id="104" w:name="X03f99c9f0dd220b85857207ba6ad8de5f08de0b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Эксплуатация уязвимостей и захват флага (результаты)</w:t>
      </w:r>
    </w:p>
    <w:p>
      <w:pPr>
        <w:pStyle w:val="FirstParagraph"/>
      </w:pPr>
      <w:r>
        <w:t xml:space="preserve">В ходе практической работы подтверждена возможность получения RCE на почтовом сервере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 </w:t>
      </w:r>
      <w:r>
        <w:t xml:space="preserve">с применением публичных модулей Metasploit (ProxyShell / ProxyLogon). Ниже — структурированная сводка наблюдений, артефактов и выводов.</w:t>
      </w:r>
    </w:p>
    <w:bookmarkStart w:id="78" w:name="инструменты-и-условия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Инструменты и условия</w:t>
      </w:r>
    </w:p>
    <w:p>
      <w:pPr>
        <w:numPr>
          <w:ilvl w:val="0"/>
          <w:numId w:val="1009"/>
        </w:numPr>
        <w:pStyle w:val="Compact"/>
      </w:pPr>
      <w:r>
        <w:t xml:space="preserve">Среда атакующего: Kali Linux с установленным Metasploit (msf6).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Цель: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 </w:t>
      </w:r>
      <w:r>
        <w:t xml:space="preserve">(Microsoft Exchange — OWA + SMTP).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Источники артефактов: выводы Metasploit, сессии Meterpreter, снимки экрана DevTools и страницы CVE.</w:t>
      </w:r>
    </w:p>
    <w:bookmarkEnd w:id="78"/>
    <w:bookmarkStart w:id="87" w:name="эксплуатация-proxyshell-итоги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Эксплуатация ProxyShell (итоги)</w:t>
      </w:r>
    </w:p>
    <w:p>
      <w:pPr>
        <w:pStyle w:val="FirstParagraph"/>
      </w:pPr>
      <w:r>
        <w:rPr>
          <w:bCs/>
          <w:b/>
        </w:rPr>
        <w:t xml:space="preserve">Описание наблюдаемого процесса:</w:t>
      </w:r>
      <w:r>
        <w:br/>
      </w:r>
      <w:r>
        <w:t xml:space="preserve">Модуль для ProxyShell (ProxyShell RCE, связанный с CVE-2021-34473 / CVE-2021-34523 / CVE-2021-31207) был запущен из фреймворка Metasploit. В выводе показано, что модуль успешно отправил полезную нагрузку на целевой сервер, удалённый хост отработал, и была открыта Meterpreter-сессия.</w:t>
      </w:r>
    </w:p>
    <w:p>
      <w:pPr>
        <w:pStyle w:val="BodyText"/>
      </w:pPr>
      <w:r>
        <w:rPr>
          <w:bCs/>
          <w:b/>
        </w:rPr>
        <w:t xml:space="preserve">Ключевые наблюдения (логи/вывод):</w:t>
      </w:r>
      <w:r>
        <w:br/>
      </w:r>
      <w:r>
        <w:t xml:space="preserve">- Запуск обработчика обратного соединения (reverse TCP handler).</w:t>
      </w:r>
      <w:r>
        <w:br/>
      </w:r>
      <w:r>
        <w:t xml:space="preserve">- Сообщение:</w:t>
      </w:r>
      <w:r>
        <w:t xml:space="preserve"> </w:t>
      </w:r>
      <w:r>
        <w:rPr>
          <w:rStyle w:val="VerbatimChar"/>
        </w:rPr>
        <w:t xml:space="preserve">The target is vulnerable.</w:t>
      </w:r>
      <w:r>
        <w:br/>
      </w:r>
      <w:r>
        <w:t xml:space="preserve">- Успешные этапы: получение FQDN backend, поиск валидных почтовых ящиков, создание и отправка черновика с webshell-аттачем, ожидание обратного подключения.</w:t>
      </w:r>
      <w:r>
        <w:br/>
      </w:r>
      <w:r>
        <w:t xml:space="preserve">- Открыта</w:t>
      </w:r>
      <w:r>
        <w:t xml:space="preserve"> </w:t>
      </w:r>
      <w:r>
        <w:rPr>
          <w:rStyle w:val="VerbatimChar"/>
        </w:rPr>
        <w:t xml:space="preserve">Meterpreter session 1</w:t>
      </w:r>
      <w:r>
        <w:t xml:space="preserve"> </w:t>
      </w:r>
      <w:r>
        <w:t xml:space="preserve">— подтверждение RCE. (рис. fig. 11)</w:t>
      </w:r>
    </w:p>
    <w:p>
      <w:pPr>
        <w:pStyle w:val="CaptionedFigure"/>
      </w:pPr>
      <w:bookmarkStart w:id="82" w:name="fig:14"/>
      <w:r>
        <w:drawing>
          <wp:inline>
            <wp:extent cx="5334000" cy="2327144"/>
            <wp:effectExtent b="0" l="0" r="0" t="0"/>
            <wp:docPr descr="Рис. 11: Вывод Metasploit — успешная эксплуатация ProxyShell и открытие Meterpreter-сессии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11: Вывод Metasploit — успешная эксплуатация ProxyShell и открытие Meterpreter-сессии</w:t>
      </w:r>
    </w:p>
    <w:p>
      <w:pPr>
        <w:pStyle w:val="BodyText"/>
      </w:pPr>
      <w:r>
        <w:rPr>
          <w:bCs/>
          <w:b/>
        </w:rPr>
        <w:t xml:space="preserve">Полученные артефакты:</w:t>
      </w:r>
      <w:r>
        <w:br/>
      </w:r>
      <w:r>
        <w:t xml:space="preserve">- Открытая Meterpreter-сессия (запись в консоли).</w:t>
      </w:r>
      <w:r>
        <w:br/>
      </w:r>
      <w:r>
        <w:t xml:space="preserve">- Флаг найден по пути</w:t>
      </w:r>
      <w:r>
        <w:t xml:space="preserve"> </w:t>
      </w:r>
      <w:r>
        <w:rPr>
          <w:rStyle w:val="VerbatimChar"/>
        </w:rPr>
        <w:t xml:space="preserve">C:\windows\system32\flag_for_red_team.txt</w:t>
      </w:r>
      <w:r>
        <w:t xml:space="preserve"> </w:t>
      </w:r>
      <w:r>
        <w:t xml:space="preserve">— содержимое:</w:t>
      </w:r>
      <w:r>
        <w:t xml:space="preserve"> </w:t>
      </w:r>
      <w:r>
        <w:rPr>
          <w:rStyle w:val="VerbatimChar"/>
        </w:rPr>
        <w:t xml:space="preserve">81596</w:t>
      </w:r>
      <w:r>
        <w:t xml:space="preserve">. (рис. fig. 12)</w:t>
      </w:r>
    </w:p>
    <w:p>
      <w:pPr>
        <w:pStyle w:val="CaptionedFigure"/>
      </w:pPr>
      <w:bookmarkStart w:id="86" w:name="fig:15"/>
      <w:r>
        <w:drawing>
          <wp:inline>
            <wp:extent cx="5334000" cy="978068"/>
            <wp:effectExtent b="0" l="0" r="0" t="0"/>
            <wp:docPr descr="Рис. 12: Чтение файла флага в Meterpreter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12: Чтение файла флага в Meterpreter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эксплуатация ProxyShell привела к получению интерактивной сессии и извлечению артефакта — флага. Это подтверждает реальную возможность RCE на исследуемом сервере при текущей конфигурации/сборке.</w:t>
      </w:r>
    </w:p>
    <w:bookmarkEnd w:id="87"/>
    <w:bookmarkStart w:id="96" w:name="X227ec2d8f05cef07f8c098d8cfa4b85039fabb9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Альтернативная эксплуатация ProxyLogon (итоги)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br/>
      </w:r>
      <w:r>
        <w:t xml:space="preserve">Для проверки альтернативного вектора использовался модуль, реализующий ProxyLogon (CVE-2021-26855 + связанная логика записи файла — CVE-2021-27065). В качестве целевого почтового ящика применялся адрес</w:t>
      </w:r>
      <w:r>
        <w:t xml:space="preserve"> </w:t>
      </w:r>
      <w:r>
        <w:rPr>
          <w:rStyle w:val="VerbatimChar"/>
        </w:rPr>
        <w:t xml:space="preserve">manager1@ampire.corp</w:t>
      </w:r>
      <w:r>
        <w:t xml:space="preserve"> </w:t>
      </w:r>
      <w:r>
        <w:t xml:space="preserve">(легитимная служебная запись, обнаруженная в портале). В выводах также показан успешный цикл эксплуатации и открытие Meterpreter-сессии.</w:t>
      </w:r>
    </w:p>
    <w:p>
      <w:pPr>
        <w:pStyle w:val="BodyText"/>
      </w:pPr>
      <w:r>
        <w:rPr>
          <w:bCs/>
          <w:b/>
        </w:rPr>
        <w:t xml:space="preserve">Ключевые наблюдения (логи/вывод):</w:t>
      </w:r>
      <w:r>
        <w:br/>
      </w:r>
      <w:r>
        <w:t xml:space="preserve">- Настройка параметров модуля (rhosts, lhost, EMAIL).</w:t>
      </w:r>
      <w:r>
        <w:br/>
      </w:r>
      <w:r>
        <w:t xml:space="preserve">- Сообщения модуля:</w:t>
      </w:r>
      <w:r>
        <w:t xml:space="preserve"> </w:t>
      </w:r>
      <w:r>
        <w:rPr>
          <w:rStyle w:val="VerbatimChar"/>
        </w:rPr>
        <w:t xml:space="preserve">The target is vulnerable to CVE-2021-26855</w:t>
      </w:r>
      <w:r>
        <w:t xml:space="preserve"> </w:t>
      </w:r>
      <w:r>
        <w:t xml:space="preserve">/ отправка MAPI/ProxyLogon-запросов / подготовка и запись полезной нагрузки.</w:t>
      </w:r>
      <w:r>
        <w:br/>
      </w:r>
      <w:r>
        <w:t xml:space="preserve">- Открыта дополнительная Meterpreter-сессия (время/порты видны в выводе). (рис. fig. 13–fig. 14)</w:t>
      </w:r>
    </w:p>
    <w:p>
      <w:pPr>
        <w:pStyle w:val="CaptionedFigure"/>
      </w:pPr>
      <w:bookmarkStart w:id="91" w:name="fig:17"/>
      <w:r>
        <w:drawing>
          <wp:inline>
            <wp:extent cx="5334000" cy="897367"/>
            <wp:effectExtent b="0" l="0" r="0" t="0"/>
            <wp:docPr descr="Рис. 13: Пример установки параметров модуля и запуска ProxyLogon (вывод Metasploit)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13: Пример установки параметров модуля и запуска ProxyLogon (вывод Metasploit)</w:t>
      </w:r>
    </w:p>
    <w:p>
      <w:pPr>
        <w:pStyle w:val="CaptionedFigure"/>
      </w:pPr>
      <w:bookmarkStart w:id="95" w:name="fig:18"/>
      <w:r>
        <w:drawing>
          <wp:inline>
            <wp:extent cx="5334000" cy="2848582"/>
            <wp:effectExtent b="0" l="0" r="0" t="0"/>
            <wp:docPr descr="Рис. 14: Вывод успешной эксплуатации ProxyLogon — открыта Meterpreter-сессия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14: Вывод успешной эксплуатации ProxyLogon — открыта Meterpreter-сессия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проксимальные уязвимости ProxyLogon также позволяют получить RCE и доступ к файловой системе сервера; подтверждена возможность извлечения флага через оба канала.</w:t>
      </w:r>
    </w:p>
    <w:bookmarkEnd w:id="96"/>
    <w:bookmarkStart w:id="101" w:name="Xe4399b68400fcdd1406ef662ab5ae0726bd6c58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Проблемы и замечания при работе с сессиями</w:t>
      </w:r>
    </w:p>
    <w:p>
      <w:pPr>
        <w:numPr>
          <w:ilvl w:val="0"/>
          <w:numId w:val="1010"/>
        </w:numPr>
        <w:pStyle w:val="Compact"/>
      </w:pPr>
      <w:r>
        <w:t xml:space="preserve">В некоторых попытках наблюдались сообщения об ошибках доступа к файлам (например,</w:t>
      </w:r>
      <w:r>
        <w:t xml:space="preserve"> </w:t>
      </w:r>
      <w:r>
        <w:rPr>
          <w:rStyle w:val="VerbatimChar"/>
        </w:rPr>
        <w:t xml:space="preserve">Operation failed: The system cannot find the file specified.</w:t>
      </w:r>
      <w:r>
        <w:t xml:space="preserve">), однако последующие команды</w:t>
      </w:r>
      <w:r>
        <w:t xml:space="preserve"> </w:t>
      </w:r>
      <w:r>
        <w:rPr>
          <w:rStyle w:val="VerbatimChar"/>
        </w:rPr>
        <w:t xml:space="preserve">cat C:\windows\system32\flag_for_red_team.txt</w:t>
      </w:r>
      <w:r>
        <w:t xml:space="preserve"> </w:t>
      </w:r>
      <w:r>
        <w:t xml:space="preserve">успешно возвращали содержимое флага —</w:t>
      </w:r>
      <w:r>
        <w:t xml:space="preserve"> </w:t>
      </w:r>
      <w:r>
        <w:rPr>
          <w:rStyle w:val="VerbatimChar"/>
        </w:rPr>
        <w:t xml:space="preserve">81596</w:t>
      </w:r>
      <w:r>
        <w:t xml:space="preserve">. (рис. fig. 15)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Метки</w:t>
      </w:r>
      <w:r>
        <w:t xml:space="preserve"> </w:t>
      </w:r>
      <w:r>
        <w:rPr>
          <w:rStyle w:val="VerbatimChar"/>
        </w:rPr>
        <w:t xml:space="preserve">Disclosure Date / First seen</w:t>
      </w:r>
      <w:r>
        <w:t xml:space="preserve"> </w:t>
      </w:r>
      <w:r>
        <w:t xml:space="preserve">и наличие модулей Metasploit для соответствующих CVE позволяют объяснить, почему эксплуатация возможна в лабораторных/реальных условиях (см. раздел 2.2).</w:t>
      </w:r>
    </w:p>
    <w:p>
      <w:pPr>
        <w:pStyle w:val="CaptionedFigure"/>
      </w:pPr>
      <w:bookmarkStart w:id="100" w:name="fig:19"/>
      <w:r>
        <w:drawing>
          <wp:inline>
            <wp:extent cx="5334000" cy="802801"/>
            <wp:effectExtent b="0" l="0" r="0" t="0"/>
            <wp:docPr descr="Рис. 15: Ошибки доступа и последующее успешное чтение файла флага в Meterpreter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15: Ошибки доступа и последующее успешное чтение файла флага в Meterpreter</w:t>
      </w:r>
    </w:p>
    <w:bookmarkEnd w:id="101"/>
    <w:bookmarkStart w:id="102" w:name="Xa40ce2a0faefdf5c93e2eac38ce19a8ab4c69c8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Артефакты для отчёта и дальнейшего расследования</w:t>
      </w:r>
    </w:p>
    <w:p>
      <w:pPr>
        <w:numPr>
          <w:ilvl w:val="0"/>
          <w:numId w:val="1011"/>
        </w:numPr>
        <w:pStyle w:val="Compact"/>
      </w:pPr>
      <w:r>
        <w:t xml:space="preserve">Выводы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и скриншоты OWA/DevTools (фингерпринт версии).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Страницы CVE/CVEdetails с метками «Public exploit / Known exploited» и информацией по модулям Metasploit (см. раздел 2.2).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Логи Metasploit: полные сессии атак, таймстемпы открытия Meterpreter.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Содержимое флага</w:t>
      </w:r>
      <w:r>
        <w:t xml:space="preserve"> </w:t>
      </w:r>
      <w:r>
        <w:rPr>
          <w:rStyle w:val="VerbatimChar"/>
        </w:rPr>
        <w:t xml:space="preserve">C:\windows\system32\flag_for_red_team.txt = 81596</w:t>
      </w:r>
      <w:r>
        <w:t xml:space="preserve"> </w:t>
      </w:r>
      <w:r>
        <w:t xml:space="preserve">(снимок вывода).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Сохранённые черновики/файлы, которые модуль создавал на сервере (если доступны).</w:t>
      </w:r>
    </w:p>
    <w:bookmarkEnd w:id="102"/>
    <w:bookmarkStart w:id="103" w:name="рекомендации-по-реагированию"/>
    <w:p>
      <w:pPr>
        <w:pStyle w:val="Heading3"/>
      </w:pPr>
      <w:r>
        <w:rPr>
          <w:rStyle w:val="SectionNumber"/>
        </w:rPr>
        <w:t xml:space="preserve">4.3.6</w:t>
      </w:r>
      <w:r>
        <w:tab/>
      </w:r>
      <w:r>
        <w:t xml:space="preserve">Рекомендации по реагированию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Немедленно изолировать</w:t>
      </w:r>
      <w:r>
        <w:t xml:space="preserve"> </w:t>
      </w:r>
      <w:r>
        <w:t xml:space="preserve">сервер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 </w:t>
      </w:r>
      <w:r>
        <w:t xml:space="preserve">от сети (VLAN/ACL).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Собрать артефакты</w:t>
      </w:r>
      <w:r>
        <w:t xml:space="preserve">: журналы IIS, Application, Security, Exchange, PowerShell; образ памяти; дампы файлов, созданных в</w:t>
      </w:r>
      <w:r>
        <w:t xml:space="preserve"> </w:t>
      </w:r>
      <w:r>
        <w:rPr>
          <w:rStyle w:val="VerbatimChar"/>
        </w:rPr>
        <w:t xml:space="preserve">FrontEnd\HttpProxy\owa\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Провести форензик</w:t>
      </w:r>
      <w:r>
        <w:t xml:space="preserve">: поиск web-shell, новых учётных записей, подозрительных задач/служб, изменений в почтовых ящиках.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Применить патчи</w:t>
      </w:r>
      <w:r>
        <w:t xml:space="preserve">: установить все security updates/KB, относящиеся к CVE-2021-26855 / CVE-2021-34523 / CVE-2021-34473 и соответствующие CU для вашей версии Exchange.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Поменять/отозвать</w:t>
      </w:r>
      <w:r>
        <w:t xml:space="preserve"> </w:t>
      </w:r>
      <w:r>
        <w:t xml:space="preserve">скомпрометированные учётные данные и сертификаты.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Повысить мониторинг</w:t>
      </w:r>
      <w:r>
        <w:t xml:space="preserve">: IDS/WAF правила для OWA/EWS, контроль целевых вызовов EWS/Autodiscover, детектирование массовых экспортов почтовых ящиков.</w:t>
      </w:r>
    </w:p>
    <w:bookmarkEnd w:id="103"/>
    <w:bookmarkEnd w:id="104"/>
    <w:bookmarkEnd w:id="105"/>
    <w:bookmarkStart w:id="106" w:name="выводы-по-работ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 по работе</w:t>
      </w:r>
    </w:p>
    <w:p>
      <w:pPr>
        <w:pStyle w:val="FirstParagraph"/>
      </w:pPr>
      <w:r>
        <w:t xml:space="preserve">В результате выполнения лабораторной работы были успешно реализованы этапы разведки, анализа уязвимостей, их эксплуатации и получения удалённого доступа к почтовому серверу Microsoft Exchange.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Проведена разведка сети.</w:t>
      </w:r>
      <w:r>
        <w:br/>
      </w:r>
      <w:r>
        <w:t xml:space="preserve">Сканированием подсети</w:t>
      </w:r>
      <w:r>
        <w:t xml:space="preserve"> </w:t>
      </w:r>
      <w:r>
        <w:rPr>
          <w:rStyle w:val="VerbatimChar"/>
        </w:rPr>
        <w:t xml:space="preserve">195.239.174.0/24</w:t>
      </w:r>
      <w:r>
        <w:t xml:space="preserve"> </w:t>
      </w:r>
      <w:r>
        <w:t xml:space="preserve">выявлен активный хост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 </w:t>
      </w:r>
      <w:r>
        <w:t xml:space="preserve">с открытыми портами</w:t>
      </w:r>
      <w:r>
        <w:t xml:space="preserve"> </w:t>
      </w:r>
      <w:r>
        <w:rPr>
          <w:rStyle w:val="VerbatimChar"/>
        </w:rPr>
        <w:t xml:space="preserve">25/tcp</w:t>
      </w:r>
      <w:r>
        <w:t xml:space="preserve"> </w:t>
      </w:r>
      <w:r>
        <w:t xml:space="preserve">(SMTP) и</w:t>
      </w:r>
      <w:r>
        <w:t xml:space="preserve"> </w:t>
      </w:r>
      <w:r>
        <w:rPr>
          <w:rStyle w:val="VerbatimChar"/>
        </w:rPr>
        <w:t xml:space="preserve">443/tcp</w:t>
      </w:r>
      <w:r>
        <w:t xml:space="preserve"> </w:t>
      </w:r>
      <w:r>
        <w:t xml:space="preserve">(HTTPS), что позволило идентифицировать сервер Microsoft Exchange.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Выполнено определение версии Exchange.</w:t>
      </w:r>
      <w:r>
        <w:br/>
      </w:r>
      <w:r>
        <w:t xml:space="preserve">С помощью инструментов DevTools в браузере получены сведения о сборке сервера (</w:t>
      </w:r>
      <w:r>
        <w:rPr>
          <w:rStyle w:val="VerbatimChar"/>
        </w:rPr>
        <w:t xml:space="preserve">15.1.1713</w:t>
      </w:r>
      <w:r>
        <w:t xml:space="preserve">), что позволило соотнести её с известными бюллетенями Microsoft и выявить неустановленные обновления безопасности.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Проведён анализ CVE и приоритезация угроз.</w:t>
      </w:r>
      <w:r>
        <w:br/>
      </w:r>
      <w:r>
        <w:t xml:space="preserve">Используя портал CVEdetails, определены наиболее критические уязвимости (CVSS ≥ 9), имеющие публичные эксплойты и зафиксированные случаи эксплуатации:</w:t>
      </w:r>
    </w:p>
    <w:p>
      <w:pPr>
        <w:numPr>
          <w:ilvl w:val="1"/>
          <w:numId w:val="1014"/>
        </w:numPr>
        <w:pStyle w:val="Compact"/>
      </w:pPr>
      <w:r>
        <w:t xml:space="preserve">CVE-2021-26855 (ProxyLogon, SSRF);</w:t>
      </w:r>
    </w:p>
    <w:p>
      <w:pPr>
        <w:numPr>
          <w:ilvl w:val="1"/>
          <w:numId w:val="1014"/>
        </w:numPr>
        <w:pStyle w:val="Compact"/>
      </w:pPr>
      <w:r>
        <w:t xml:space="preserve">CVE-2021-34473 (ProxyShell, RCE);</w:t>
      </w:r>
    </w:p>
    <w:p>
      <w:pPr>
        <w:numPr>
          <w:ilvl w:val="1"/>
          <w:numId w:val="1014"/>
        </w:numPr>
        <w:pStyle w:val="Compact"/>
      </w:pPr>
      <w:r>
        <w:t xml:space="preserve">CVE-2021-34523, CVE-2021-31207 (связанные компоненты цепочки ProxyShell).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Подтверждено наличие эксплуатационных модулей.</w:t>
      </w:r>
      <w:r>
        <w:br/>
      </w:r>
      <w:r>
        <w:t xml:space="preserve">В Metasploit обнаружены соответствующие модули (</w:t>
      </w:r>
      <w:r>
        <w:rPr>
          <w:rStyle w:val="VerbatimChar"/>
        </w:rPr>
        <w:t xml:space="preserve">windows/http/exchange_proxyshell_rce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windows/http/exchange_proxylogon_rce</w:t>
      </w:r>
      <w:r>
        <w:t xml:space="preserve">), что подтвердило возможность автоматизации атаки.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Реализована эксплуатация ProxyShell.</w:t>
      </w:r>
      <w:r>
        <w:br/>
      </w:r>
      <w:r>
        <w:t xml:space="preserve">При запуске модуля ProxyShell подтверждена уязвимость сервера, создан черновик с webshell, и установлена</w:t>
      </w:r>
      <w:r>
        <w:t xml:space="preserve"> </w:t>
      </w:r>
      <w:r>
        <w:rPr>
          <w:rStyle w:val="VerbatimChar"/>
        </w:rPr>
        <w:t xml:space="preserve">Meterpreter</w:t>
      </w:r>
      <w:r>
        <w:t xml:space="preserve">-сессия с удалённым сервером. В каталоге</w:t>
      </w:r>
      <w:r>
        <w:t xml:space="preserve"> </w:t>
      </w:r>
      <w:r>
        <w:rPr>
          <w:rStyle w:val="VerbatimChar"/>
        </w:rPr>
        <w:t xml:space="preserve">C:\Windows\System32\</w:t>
      </w:r>
      <w:r>
        <w:t xml:space="preserve"> </w:t>
      </w:r>
      <w:r>
        <w:t xml:space="preserve">найден флаг</w:t>
      </w:r>
      <w:r>
        <w:t xml:space="preserve"> </w:t>
      </w:r>
      <w:r>
        <w:rPr>
          <w:rStyle w:val="VerbatimChar"/>
        </w:rPr>
        <w:t xml:space="preserve">flag_for_red_team.txt</w:t>
      </w:r>
      <w:r>
        <w:t xml:space="preserve"> </w:t>
      </w:r>
      <w:r>
        <w:t xml:space="preserve">с содержимым</w:t>
      </w:r>
      <w:r>
        <w:t xml:space="preserve"> </w:t>
      </w:r>
      <w:r>
        <w:rPr>
          <w:rStyle w:val="VerbatimChar"/>
        </w:rPr>
        <w:t xml:space="preserve">81596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Реализована эксплуатация ProxyLogon.</w:t>
      </w:r>
      <w:r>
        <w:br/>
      </w:r>
      <w:r>
        <w:t xml:space="preserve">Аналогичный результат получен при использовании модуля ProxyLogon RCE — также открыта сессия и прочитан тот же флаг, что подтверждает множественные точки входа для RCE.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Проведён анализ результатов и сформулированы меры реагирования.</w:t>
      </w:r>
      <w:r>
        <w:br/>
      </w:r>
      <w:r>
        <w:t xml:space="preserve">Полученные результаты демонстрируют критическую уязвимость сервера, отсутствие актуальных обновлений безопасности и возможность удалённого исполнения кода с привилегиями администратора.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/>
  <dc:language>ru-RU</dc:language>
  <cp:keywords/>
  <dcterms:created xsi:type="dcterms:W3CDTF">2025-10-31T10:14:55Z</dcterms:created>
  <dcterms:modified xsi:type="dcterms:W3CDTF">2025-10-31T10:14:55Z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ЗАХВАТ ПОЧТОВОГО СЕРВЕРА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