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0"/>
          <w:szCs w:val="30"/>
        </w:rPr>
        <w:t xml:space="preserve">CONTRAT DE TRAVAIL À DURÉE DÉTERMINÉE</w:t>
      </w:r>
    </w:p>
    <w:p>
      <w:pPr>
        <w:spacing w:after="60"/>
        <w:jc w:val="center"/>
      </w:pPr>
      <w:r>
        <w:rPr>
          <w:rFonts w:ascii="Times New Roman" w:cs="Times New Roman" w:eastAsia="Times New Roman" w:hAnsi="Times New Roman"/>
          <w:i/>
          <w:iCs/>
          <w:sz w:val="22"/>
          <w:szCs w:val="22"/>
        </w:rPr>
        <w:t xml:space="preserve">Poste : Data Scientist Junior – Département Analyse des Risques et Actuariat</w:t>
      </w:r>
    </w:p>
    <w:p>
      <w:pPr>
        <w:pBdr>
          <w:bottom w:val="single" w:color="000000" w:sz="8" w:space="6"/>
        </w:pBdr>
        <w:spacing w:after="200"/>
        <w:jc w:val="center"/>
      </w:pPr>
      <w:r>
        <w:rPr>
          <w:rFonts w:ascii="Times New Roman" w:cs="Times New Roman" w:eastAsia="Times New Roman" w:hAnsi="Times New Roman"/>
          <w:sz w:val="21"/>
          <w:szCs w:val="21"/>
        </w:rPr>
        <w:t xml:space="preserve">Référence du contrat : ATL-CDD-2026-0318</w:t>
      </w:r>
    </w:p>
    <w:p>
      <w:pPr>
        <w:keepNext/>
        <w:spacing w:after="100" w:before="0" w:line="264"/>
        <w:jc w:val="left"/>
      </w:pPr>
      <w:r>
        <w:rPr>
          <w:rFonts w:ascii="Times New Roman" w:cs="Times New Roman" w:eastAsia="Times New Roman" w:hAnsi="Times New Roman"/>
          <w:sz w:val="21"/>
          <w:szCs w:val="21"/>
        </w:rPr>
        <w:t xml:space="preserve"/>
      </w:r>
      <w:r>
        <w:rPr>
          <w:rFonts w:ascii="Times New Roman" w:cs="Times New Roman" w:eastAsia="Times New Roman" w:hAnsi="Times New Roman"/>
          <w:b/>
          <w:bCs/>
          <w:sz w:val="21"/>
          <w:szCs w:val="21"/>
        </w:rPr>
        <w:t xml:space="preserve">ENTRE LES SOUSSIGNÉS :</w:t>
      </w:r>
      <w:r>
        <w:rPr>
          <w:rFonts w:ascii="Times New Roman" w:cs="Times New Roman" w:eastAsia="Times New Roman" w:hAnsi="Times New Roman"/>
          <w:sz w:val="21"/>
          <w:szCs w:val="21"/>
        </w:rPr>
        <w:t xml:space="preserve"/>
      </w:r>
    </w:p>
    <w:p>
      <w:pPr>
        <w:spacing w:after="100" w:before="0" w:line="264"/>
        <w:jc w:val="both"/>
      </w:pPr>
      <w:r>
        <w:rPr>
          <w:rFonts w:ascii="Times New Roman" w:cs="Times New Roman" w:eastAsia="Times New Roman" w:hAnsi="Times New Roman"/>
          <w:sz w:val="21"/>
          <w:szCs w:val="21"/>
        </w:rPr>
        <w:t xml:space="preserve">La société </w:t>
      </w:r>
      <w:r>
        <w:rPr>
          <w:rFonts w:ascii="Times New Roman" w:cs="Times New Roman" w:eastAsia="Times New Roman" w:hAnsi="Times New Roman"/>
          <w:b/>
          <w:bCs/>
          <w:sz w:val="21"/>
          <w:szCs w:val="21"/>
        </w:rPr>
        <w:t xml:space="preserve">ATLAS MUTUELLE ASSURANCES</w:t>
      </w:r>
      <w:r>
        <w:rPr>
          <w:rFonts w:ascii="Times New Roman" w:cs="Times New Roman" w:eastAsia="Times New Roman" w:hAnsi="Times New Roman"/>
          <w:sz w:val="21"/>
          <w:szCs w:val="21"/>
        </w:rPr>
        <w:t xml:space="preserve">, société anonyme au capital de 12 500 000 euros, dont le siège social est situé au 8 esplanade Gabriel Fauré, 92400 Courbevoie, immatriculée au Registre du commerce et des sociétés de Nanterre sous le numéro SIREN 531 208 944 (SIRET 531 208 944 00117), code APE 6512Z, numéro de TVA intracommunautaire FR62 531208944, représentée par </w:t>
      </w:r>
      <w:r>
        <w:rPr>
          <w:rFonts w:ascii="Times New Roman" w:cs="Times New Roman" w:eastAsia="Times New Roman" w:hAnsi="Times New Roman"/>
          <w:b/>
          <w:bCs/>
          <w:sz w:val="21"/>
          <w:szCs w:val="21"/>
        </w:rPr>
        <w:t xml:space="preserve">Monsieur Laurent Delafosse-Rivière</w:t>
      </w:r>
      <w:r>
        <w:rPr>
          <w:rFonts w:ascii="Times New Roman" w:cs="Times New Roman" w:eastAsia="Times New Roman" w:hAnsi="Times New Roman"/>
          <w:sz w:val="21"/>
          <w:szCs w:val="21"/>
        </w:rPr>
        <w:t xml:space="preserve">, Directeur des Ressources Humaines, dûment habilité à l'effet des présentes, ci-après dénommée « </w:t>
      </w:r>
      <w:r>
        <w:rPr>
          <w:rFonts w:ascii="Times New Roman" w:cs="Times New Roman" w:eastAsia="Times New Roman" w:hAnsi="Times New Roman"/>
          <w:b/>
          <w:bCs/>
          <w:sz w:val="21"/>
          <w:szCs w:val="21"/>
        </w:rPr>
        <w:t xml:space="preserve">la Société</w:t>
      </w:r>
      <w:r>
        <w:rPr>
          <w:rFonts w:ascii="Times New Roman" w:cs="Times New Roman" w:eastAsia="Times New Roman" w:hAnsi="Times New Roman"/>
          <w:sz w:val="21"/>
          <w:szCs w:val="21"/>
        </w:rPr>
        <w:t xml:space="preserve"> » ou « </w:t>
      </w:r>
      <w:r>
        <w:rPr>
          <w:rFonts w:ascii="Times New Roman" w:cs="Times New Roman" w:eastAsia="Times New Roman" w:hAnsi="Times New Roman"/>
          <w:b/>
          <w:bCs/>
          <w:sz w:val="21"/>
          <w:szCs w:val="21"/>
        </w:rPr>
        <w:t xml:space="preserve">l'Employeur</w:t>
      </w:r>
      <w:r>
        <w:rPr>
          <w:rFonts w:ascii="Times New Roman" w:cs="Times New Roman" w:eastAsia="Times New Roman" w:hAnsi="Times New Roman"/>
          <w:sz w:val="21"/>
          <w:szCs w:val="21"/>
        </w:rPr>
        <w:t xml:space="preserve"> »,</w:t>
      </w:r>
    </w:p>
    <w:p>
      <w:pPr>
        <w:spacing w:after="100" w:before="0" w:line="264"/>
        <w:jc w:val="center"/>
      </w:pPr>
      <w:r>
        <w:rPr>
          <w:rFonts w:ascii="Times New Roman" w:cs="Times New Roman" w:eastAsia="Times New Roman" w:hAnsi="Times New Roman"/>
          <w:sz w:val="21"/>
          <w:szCs w:val="21"/>
        </w:rPr>
        <w:t xml:space="preserve"/>
      </w:r>
      <w:r>
        <w:rPr>
          <w:rFonts w:ascii="Times New Roman" w:cs="Times New Roman" w:eastAsia="Times New Roman" w:hAnsi="Times New Roman"/>
          <w:b/>
          <w:bCs/>
          <w:sz w:val="21"/>
          <w:szCs w:val="21"/>
        </w:rPr>
        <w:t xml:space="preserve">ET</w:t>
      </w:r>
      <w:r>
        <w:rPr>
          <w:rFonts w:ascii="Times New Roman" w:cs="Times New Roman" w:eastAsia="Times New Roman" w:hAnsi="Times New Roman"/>
          <w:sz w:val="21"/>
          <w:szCs w:val="21"/>
        </w:rPr>
        <w:t xml:space="preserve"/>
      </w:r>
    </w:p>
    <w:p>
      <w:pPr>
        <w:spacing w:after="100" w:before="0" w:line="264"/>
        <w:jc w:val="both"/>
      </w:pPr>
      <w:r>
        <w:rPr>
          <w:rFonts w:ascii="Times New Roman" w:cs="Times New Roman" w:eastAsia="Times New Roman" w:hAnsi="Times New Roman"/>
          <w:sz w:val="21"/>
          <w:szCs w:val="21"/>
        </w:rPr>
        <w:t xml:space="preserve"/>
      </w:r>
      <w:r>
        <w:rPr>
          <w:rFonts w:ascii="Times New Roman" w:cs="Times New Roman" w:eastAsia="Times New Roman" w:hAnsi="Times New Roman"/>
          <w:b/>
          <w:bCs/>
          <w:sz w:val="21"/>
          <w:szCs w:val="21"/>
        </w:rPr>
        <w:t xml:space="preserve">Monsieur Tiago Marques Ferreira</w:t>
      </w:r>
      <w:r>
        <w:rPr>
          <w:rFonts w:ascii="Times New Roman" w:cs="Times New Roman" w:eastAsia="Times New Roman" w:hAnsi="Times New Roman"/>
          <w:sz w:val="21"/>
          <w:szCs w:val="21"/>
        </w:rPr>
        <w:t xml:space="preserve">, né le 22 août 1999 à Porto (Portugal), de nationalité portugaise, ressortissant de l'Union européenne, demeurant au 14 rue des Entrepreneurs, 75015 Paris, titulaire du numéro de sécurité sociale fictif 1 99 08 99 351 117 52 et enregistré sous le matricule interne ATL-C-1182, titulaire d'un Master 2 Data Science et Actuariat, ci-après dénommé « </w:t>
      </w:r>
      <w:r>
        <w:rPr>
          <w:rFonts w:ascii="Times New Roman" w:cs="Times New Roman" w:eastAsia="Times New Roman" w:hAnsi="Times New Roman"/>
          <w:b/>
          <w:bCs/>
          <w:sz w:val="21"/>
          <w:szCs w:val="21"/>
        </w:rPr>
        <w:t xml:space="preserve">le Salarié</w:t>
      </w:r>
      <w:r>
        <w:rPr>
          <w:rFonts w:ascii="Times New Roman" w:cs="Times New Roman" w:eastAsia="Times New Roman" w:hAnsi="Times New Roman"/>
          <w:sz w:val="21"/>
          <w:szCs w:val="21"/>
        </w:rPr>
        <w:t xml:space="preserve"> »,</w:t>
      </w:r>
    </w:p>
    <w:p>
      <w:pPr>
        <w:spacing w:after="100" w:before="60" w:line="264"/>
        <w:jc w:val="both"/>
      </w:pPr>
      <w:r>
        <w:rPr>
          <w:rFonts w:ascii="Times New Roman" w:cs="Times New Roman" w:eastAsia="Times New Roman" w:hAnsi="Times New Roman"/>
          <w:sz w:val="21"/>
          <w:szCs w:val="21"/>
        </w:rPr>
        <w:t xml:space="preserve">Il a été convenu et arrêté ce qui suit.</w:t>
      </w:r>
    </w:p>
    <w:p>
      <w:pPr>
        <w:pStyle w:val="Heading2"/>
        <w:keepNext/>
        <w:spacing w:after="90" w:before="220"/>
      </w:pPr>
      <w:r>
        <w:rPr>
          <w:rFonts w:ascii="Times New Roman" w:cs="Times New Roman" w:eastAsia="Times New Roman" w:hAnsi="Times New Roman"/>
          <w:b/>
          <w:bCs/>
          <w:sz w:val="22"/>
          <w:szCs w:val="22"/>
        </w:rPr>
        <w:t xml:space="preserve">ARTICLE 1 – ENGAGEMENT ET STATUT</w:t>
      </w:r>
    </w:p>
    <w:p>
      <w:pPr>
        <w:spacing w:after="100" w:before="0" w:line="264"/>
        <w:jc w:val="both"/>
      </w:pPr>
      <w:r>
        <w:rPr>
          <w:rFonts w:ascii="Times New Roman" w:cs="Times New Roman" w:eastAsia="Times New Roman" w:hAnsi="Times New Roman"/>
          <w:sz w:val="21"/>
          <w:szCs w:val="21"/>
        </w:rPr>
        <w:t xml:space="preserve">La Société engage le Salarié en qualité de </w:t>
      </w:r>
      <w:r>
        <w:rPr>
          <w:rFonts w:ascii="Times New Roman" w:cs="Times New Roman" w:eastAsia="Times New Roman" w:hAnsi="Times New Roman"/>
          <w:b/>
          <w:bCs/>
          <w:sz w:val="21"/>
          <w:szCs w:val="21"/>
        </w:rPr>
        <w:t xml:space="preserve">Data Scientist Junior</w:t>
      </w:r>
      <w:r>
        <w:rPr>
          <w:rFonts w:ascii="Times New Roman" w:cs="Times New Roman" w:eastAsia="Times New Roman" w:hAnsi="Times New Roman"/>
          <w:sz w:val="21"/>
          <w:szCs w:val="21"/>
        </w:rPr>
        <w:t xml:space="preserve">, au sein du département « Analyse des Risques et Actuariat », avec le statut de cadre. Le Salarié déclare être libre de tout engagement incompatible avec le présent contrat et n'être lié à aucun autre employeur à la date de prise de fonctions.</w:t>
      </w:r>
    </w:p>
    <w:p>
      <w:pPr>
        <w:spacing w:after="100" w:before="0" w:line="264"/>
        <w:jc w:val="both"/>
      </w:pPr>
      <w:r>
        <w:rPr>
          <w:rFonts w:ascii="Times New Roman" w:cs="Times New Roman" w:eastAsia="Times New Roman" w:hAnsi="Times New Roman"/>
          <w:sz w:val="21"/>
          <w:szCs w:val="21"/>
        </w:rPr>
        <w:t xml:space="preserve">Le présent contrat est conclu à durée déterminée à temps complet. Il est soumis aux dispositions du Code du travail ainsi qu'à la Convention collective nationale des sociétés d'assurances (IDCC 1672), dont le Salarié reconnaît avoir pris connaissance et pouvoir consulter un exemplaire auprès du service des ressources humaines.</w:t>
      </w:r>
    </w:p>
    <w:p>
      <w:pPr>
        <w:pStyle w:val="Heading2"/>
        <w:keepNext/>
        <w:spacing w:after="90" w:before="220"/>
      </w:pPr>
      <w:r>
        <w:rPr>
          <w:rFonts w:ascii="Times New Roman" w:cs="Times New Roman" w:eastAsia="Times New Roman" w:hAnsi="Times New Roman"/>
          <w:b/>
          <w:bCs/>
          <w:sz w:val="22"/>
          <w:szCs w:val="22"/>
        </w:rPr>
        <w:t xml:space="preserve">ARTICLE 2 – FONCTIONS ET MISSIONS</w:t>
      </w:r>
    </w:p>
    <w:p>
      <w:pPr>
        <w:spacing w:after="100" w:before="0" w:line="264"/>
        <w:jc w:val="both"/>
      </w:pPr>
      <w:r>
        <w:rPr>
          <w:rFonts w:ascii="Times New Roman" w:cs="Times New Roman" w:eastAsia="Times New Roman" w:hAnsi="Times New Roman"/>
          <w:sz w:val="21"/>
          <w:szCs w:val="21"/>
        </w:rPr>
        <w:t xml:space="preserve">Le Salarié est placé sous l'autorité hiérarchique de Madame Hélène Garnier-Pasquier, Responsable du pôle Analyse prédictive. La Société commercialise des contrats d'assurance habitation, automobile et santé auprès de particuliers et de professionnels, et développe un programme de détection de la fraude et de modélisation des sinistres. Dans ce cadre, ses missions principales sont les suivantes :</w:t>
      </w:r>
    </w:p>
    <w:p>
      <w:pPr>
        <w:pStyle w:val="ListParagraph"/>
        <w:numPr>
          <w:ilvl w:val="0"/>
          <w:numId w:val="2"/>
        </w:numPr>
        <w:spacing w:after="50" w:line="264"/>
        <w:jc w:val="both"/>
      </w:pPr>
      <w:r>
        <w:rPr>
          <w:rFonts w:ascii="Times New Roman" w:cs="Times New Roman" w:eastAsia="Times New Roman" w:hAnsi="Times New Roman"/>
          <w:sz w:val="21"/>
          <w:szCs w:val="21"/>
        </w:rPr>
        <w:t xml:space="preserve">construire et enrichir des jeux de données de sinistres à partir des bases internes et de données externes autorisées ;</w:t>
      </w:r>
    </w:p>
    <w:p>
      <w:pPr>
        <w:pStyle w:val="ListParagraph"/>
        <w:numPr>
          <w:ilvl w:val="0"/>
          <w:numId w:val="2"/>
        </w:numPr>
        <w:spacing w:after="50" w:line="264"/>
        <w:jc w:val="both"/>
      </w:pPr>
      <w:r>
        <w:rPr>
          <w:rFonts w:ascii="Times New Roman" w:cs="Times New Roman" w:eastAsia="Times New Roman" w:hAnsi="Times New Roman"/>
          <w:sz w:val="21"/>
          <w:szCs w:val="21"/>
        </w:rPr>
        <w:t xml:space="preserve">développer des modèles de classification destinés à repérer les déclarations de sinistres atypiques ou frauduleuses, en traitant les problématiques de classes déséquilibrées ;</w:t>
      </w:r>
    </w:p>
    <w:p>
      <w:pPr>
        <w:pStyle w:val="ListParagraph"/>
        <w:numPr>
          <w:ilvl w:val="0"/>
          <w:numId w:val="2"/>
        </w:numPr>
        <w:spacing w:after="50" w:line="264"/>
        <w:jc w:val="both"/>
      </w:pPr>
      <w:r>
        <w:rPr>
          <w:rFonts w:ascii="Times New Roman" w:cs="Times New Roman" w:eastAsia="Times New Roman" w:hAnsi="Times New Roman"/>
          <w:sz w:val="21"/>
          <w:szCs w:val="21"/>
        </w:rPr>
        <w:t xml:space="preserve">évaluer les performances des modèles (précision, rappel, aire sous la courbe ROC) et documenter leur interprétabilité à l'aide de méthodes d'explicabilité telles que SHAP ;</w:t>
      </w:r>
    </w:p>
    <w:p>
      <w:pPr>
        <w:pStyle w:val="ListParagraph"/>
        <w:numPr>
          <w:ilvl w:val="0"/>
          <w:numId w:val="2"/>
        </w:numPr>
        <w:spacing w:after="50" w:line="264"/>
        <w:jc w:val="both"/>
      </w:pPr>
      <w:r>
        <w:rPr>
          <w:rFonts w:ascii="Times New Roman" w:cs="Times New Roman" w:eastAsia="Times New Roman" w:hAnsi="Times New Roman"/>
          <w:sz w:val="21"/>
          <w:szCs w:val="21"/>
        </w:rPr>
        <w:t xml:space="preserve">travailler avec les actuaires, les gestionnaires de sinistres et la direction juridique afin de garantir la conformité des modèles et l'absence de biais discriminatoires ;</w:t>
      </w:r>
    </w:p>
    <w:p>
      <w:pPr>
        <w:pStyle w:val="ListParagraph"/>
        <w:numPr>
          <w:ilvl w:val="0"/>
          <w:numId w:val="2"/>
        </w:numPr>
        <w:spacing w:after="50" w:line="264"/>
        <w:jc w:val="both"/>
      </w:pPr>
      <w:r>
        <w:rPr>
          <w:rFonts w:ascii="Times New Roman" w:cs="Times New Roman" w:eastAsia="Times New Roman" w:hAnsi="Times New Roman"/>
          <w:sz w:val="21"/>
          <w:szCs w:val="21"/>
        </w:rPr>
        <w:t xml:space="preserve">produire des tableaux de bord mensuels de suivi du risque à destination de la Direction technique ;</w:t>
      </w:r>
    </w:p>
    <w:p>
      <w:pPr>
        <w:pStyle w:val="ListParagraph"/>
        <w:numPr>
          <w:ilvl w:val="0"/>
          <w:numId w:val="2"/>
        </w:numPr>
        <w:spacing w:after="50" w:line="264"/>
        <w:jc w:val="both"/>
      </w:pPr>
      <w:r>
        <w:rPr>
          <w:rFonts w:ascii="Times New Roman" w:cs="Times New Roman" w:eastAsia="Times New Roman" w:hAnsi="Times New Roman"/>
          <w:sz w:val="21"/>
          <w:szCs w:val="21"/>
        </w:rPr>
        <w:t xml:space="preserve">rédiger les notes méthodologiques destinées aux comités de validation des modèles.</w:t>
      </w:r>
    </w:p>
    <w:p>
      <w:pPr>
        <w:spacing w:after="100" w:before="0" w:line="264"/>
        <w:jc w:val="both"/>
      </w:pPr>
      <w:r>
        <w:rPr>
          <w:rFonts w:ascii="Times New Roman" w:cs="Times New Roman" w:eastAsia="Times New Roman" w:hAnsi="Times New Roman"/>
          <w:sz w:val="21"/>
          <w:szCs w:val="21"/>
        </w:rPr>
        <w:t xml:space="preserve">Les outils et technologies utilisés dans l'exercice des fonctions incluent notamment Python, R, SQL, SAS, scikit-learn, Tableau et la plateforme interne d'analyse des données. La Société pourra faire évoluer le périmètre des missions en fonction des besoins de l'activité, dans le respect de la qualification du Salarié et sans modification de sa rémunération contractuelle.</w:t>
      </w:r>
    </w:p>
    <w:p>
      <w:pPr>
        <w:pStyle w:val="Heading2"/>
        <w:keepNext/>
        <w:spacing w:after="90" w:before="220"/>
      </w:pPr>
      <w:r>
        <w:rPr>
          <w:rFonts w:ascii="Times New Roman" w:cs="Times New Roman" w:eastAsia="Times New Roman" w:hAnsi="Times New Roman"/>
          <w:b/>
          <w:bCs/>
          <w:sz w:val="22"/>
          <w:szCs w:val="22"/>
        </w:rPr>
        <w:t xml:space="preserve">ARTICLE 3 – LIEU DE TRAVAIL</w:t>
      </w:r>
    </w:p>
    <w:p>
      <w:pPr>
        <w:spacing w:after="100" w:before="0" w:line="264"/>
        <w:jc w:val="both"/>
      </w:pPr>
      <w:r>
        <w:rPr>
          <w:rFonts w:ascii="Times New Roman" w:cs="Times New Roman" w:eastAsia="Times New Roman" w:hAnsi="Times New Roman"/>
          <w:sz w:val="21"/>
          <w:szCs w:val="21"/>
        </w:rPr>
        <w:t xml:space="preserve">Le Salarié exerce ses fonctions au siège de la Société, situé au 8 esplanade Gabriel Fauré, 92400 Courbevoie, au sein du département Analyse des Risques et Actuariat.</w:t>
      </w:r>
    </w:p>
    <w:p>
      <w:pPr>
        <w:spacing w:after="100" w:before="0" w:line="264"/>
        <w:jc w:val="both"/>
      </w:pPr>
      <w:r>
        <w:rPr>
          <w:rFonts w:ascii="Times New Roman" w:cs="Times New Roman" w:eastAsia="Times New Roman" w:hAnsi="Times New Roman"/>
          <w:sz w:val="21"/>
          <w:szCs w:val="21"/>
        </w:rPr>
        <w:t xml:space="preserve">Des déplacements occasionnels pourront être demandés vers les sites régionaux de la Société à Lille, Nantes et Bordeaux, à raison de quatre jours maximum par trimestre. Le Salarié accepte ces déplacements, qui ne constituent pas une modification de son contrat de travail, et les frais engagés lui sont remboursés sur justificatifs selon la politique de frais en vigueur dans la Société.</w:t>
      </w:r>
    </w:p>
    <w:p>
      <w:pPr>
        <w:pStyle w:val="Heading2"/>
        <w:keepNext/>
        <w:spacing w:after="90" w:before="220"/>
      </w:pPr>
      <w:r>
        <w:rPr>
          <w:rFonts w:ascii="Times New Roman" w:cs="Times New Roman" w:eastAsia="Times New Roman" w:hAnsi="Times New Roman"/>
          <w:b/>
          <w:bCs/>
          <w:sz w:val="22"/>
          <w:szCs w:val="22"/>
        </w:rPr>
        <w:t xml:space="preserve">ARTICLE 4 – DURÉE DU CONTRAT, MOTIF ET TERME</w:t>
      </w:r>
    </w:p>
    <w:p>
      <w:pPr>
        <w:spacing w:after="100" w:before="0" w:line="264"/>
        <w:jc w:val="both"/>
      </w:pPr>
      <w:r>
        <w:rPr>
          <w:rFonts w:ascii="Times New Roman" w:cs="Times New Roman" w:eastAsia="Times New Roman" w:hAnsi="Times New Roman"/>
          <w:sz w:val="21"/>
          <w:szCs w:val="21"/>
        </w:rPr>
        <w:t xml:space="preserve">Le présent contrat est conclu pour une durée déterminée de </w:t>
      </w:r>
      <w:r>
        <w:rPr>
          <w:rFonts w:ascii="Times New Roman" w:cs="Times New Roman" w:eastAsia="Times New Roman" w:hAnsi="Times New Roman"/>
          <w:b/>
          <w:bCs/>
          <w:sz w:val="21"/>
          <w:szCs w:val="21"/>
        </w:rPr>
        <w:t xml:space="preserve">douze (12) mois</w:t>
      </w:r>
      <w:r>
        <w:rPr>
          <w:rFonts w:ascii="Times New Roman" w:cs="Times New Roman" w:eastAsia="Times New Roman" w:hAnsi="Times New Roman"/>
          <w:sz w:val="21"/>
          <w:szCs w:val="21"/>
        </w:rPr>
        <w:t xml:space="preserve">. Il prend effet le </w:t>
      </w:r>
      <w:r>
        <w:rPr>
          <w:rFonts w:ascii="Times New Roman" w:cs="Times New Roman" w:eastAsia="Times New Roman" w:hAnsi="Times New Roman"/>
          <w:b/>
          <w:bCs/>
          <w:sz w:val="21"/>
          <w:szCs w:val="21"/>
        </w:rPr>
        <w:t xml:space="preserve">lundi 4 janvier 2027</w:t>
      </w:r>
      <w:r>
        <w:rPr>
          <w:rFonts w:ascii="Times New Roman" w:cs="Times New Roman" w:eastAsia="Times New Roman" w:hAnsi="Times New Roman"/>
          <w:sz w:val="21"/>
          <w:szCs w:val="21"/>
        </w:rPr>
        <w:t xml:space="preserve"> et prendra fin de plein droit le </w:t>
      </w:r>
      <w:r>
        <w:rPr>
          <w:rFonts w:ascii="Times New Roman" w:cs="Times New Roman" w:eastAsia="Times New Roman" w:hAnsi="Times New Roman"/>
          <w:b/>
          <w:bCs/>
          <w:sz w:val="21"/>
          <w:szCs w:val="21"/>
        </w:rPr>
        <w:t xml:space="preserve">lundi 3 janvier 2028</w:t>
      </w:r>
      <w:r>
        <w:rPr>
          <w:rFonts w:ascii="Times New Roman" w:cs="Times New Roman" w:eastAsia="Times New Roman" w:hAnsi="Times New Roman"/>
          <w:sz w:val="21"/>
          <w:szCs w:val="21"/>
        </w:rPr>
        <w:t xml:space="preserve"> à l'issue de la journée de travail, sans qu'il soit nécessaire de procéder à une quelconque formalité.</w:t>
      </w:r>
    </w:p>
    <w:p>
      <w:pPr>
        <w:spacing w:after="100" w:before="0" w:line="264"/>
        <w:jc w:val="both"/>
      </w:pPr>
      <w:r>
        <w:rPr>
          <w:rFonts w:ascii="Times New Roman" w:cs="Times New Roman" w:eastAsia="Times New Roman" w:hAnsi="Times New Roman"/>
          <w:sz w:val="21"/>
          <w:szCs w:val="21"/>
        </w:rPr>
        <w:t xml:space="preserve">Conformément à l'article L.1242-2 du Code du travail, le recours au contrat à durée déterminée est justifié par le motif suivant : </w:t>
      </w:r>
      <w:r>
        <w:rPr>
          <w:rFonts w:ascii="Times New Roman" w:cs="Times New Roman" w:eastAsia="Times New Roman" w:hAnsi="Times New Roman"/>
          <w:b/>
          <w:bCs/>
          <w:sz w:val="21"/>
          <w:szCs w:val="21"/>
        </w:rPr>
        <w:t xml:space="preserve">accroissement temporaire d'activité</w:t>
      </w:r>
      <w:r>
        <w:rPr>
          <w:rFonts w:ascii="Times New Roman" w:cs="Times New Roman" w:eastAsia="Times New Roman" w:hAnsi="Times New Roman"/>
          <w:sz w:val="21"/>
          <w:szCs w:val="21"/>
        </w:rPr>
        <w:t xml:space="preserve">. Cet accroissement temporaire d'activité résulte du déploiement, entre 2027 et 2028, du programme d'analyse prédictive de la fraude à l'assurance habitation, qui représente une charge de travail exceptionnelle pour le département d'affectation et dont le caractère temporaire est établi par la feuille de route approuvée par la Direction technique.</w:t>
      </w:r>
    </w:p>
    <w:p>
      <w:pPr>
        <w:spacing w:after="100" w:before="0" w:line="264"/>
        <w:jc w:val="both"/>
      </w:pPr>
      <w:r>
        <w:rPr>
          <w:rFonts w:ascii="Times New Roman" w:cs="Times New Roman" w:eastAsia="Times New Roman" w:hAnsi="Times New Roman"/>
          <w:sz w:val="21"/>
          <w:szCs w:val="21"/>
        </w:rPr>
        <w:t xml:space="preserve">Le contrat pourra être renouvelé une fois, par avenant écrit conclu avant son terme, dans la limite d'une durée totale de dix-huit mois renouvellement compris. Le Salarié sera informé de la décision de la Société au plus tard un mois avant la date d'échéance.</w:t>
      </w:r>
    </w:p>
    <w:p>
      <w:pPr>
        <w:spacing w:after="100" w:before="0" w:line="264"/>
        <w:jc w:val="both"/>
      </w:pPr>
      <w:r>
        <w:rPr>
          <w:rFonts w:ascii="Times New Roman" w:cs="Times New Roman" w:eastAsia="Times New Roman" w:hAnsi="Times New Roman"/>
          <w:sz w:val="21"/>
          <w:szCs w:val="21"/>
        </w:rPr>
        <w:t xml:space="preserve">À l'issue du contrat, le Salarié percevra une indemnité de fin de contrat égale à 10 % de la rémunération brute totale versée pendant la durée du contrat, ainsi qu'une indemnité compensatrice de congés payés pour les congés non pris, sauf si un contrat à durée indéterminée lui est proposé pour un emploi similaire, ou en cas de refus de sa part d'un tel contrat, ou dans les cas d'exclusion prévus par la loi.</w:t>
      </w:r>
    </w:p>
    <w:p>
      <w:pPr>
        <w:pStyle w:val="Heading2"/>
        <w:keepNext/>
        <w:spacing w:after="90" w:before="220"/>
      </w:pPr>
      <w:r>
        <w:rPr>
          <w:rFonts w:ascii="Times New Roman" w:cs="Times New Roman" w:eastAsia="Times New Roman" w:hAnsi="Times New Roman"/>
          <w:b/>
          <w:bCs/>
          <w:sz w:val="22"/>
          <w:szCs w:val="22"/>
        </w:rPr>
        <w:t xml:space="preserve">ARTICLE 5 – PÉRIODE D'ESSAI</w:t>
      </w:r>
    </w:p>
    <w:p>
      <w:pPr>
        <w:spacing w:after="100" w:before="0" w:line="264"/>
        <w:jc w:val="both"/>
      </w:pPr>
      <w:r>
        <w:rPr>
          <w:rFonts w:ascii="Times New Roman" w:cs="Times New Roman" w:eastAsia="Times New Roman" w:hAnsi="Times New Roman"/>
          <w:sz w:val="21"/>
          <w:szCs w:val="21"/>
        </w:rPr>
        <w:t xml:space="preserve">Le présent contrat est conclu sous réserve d'une période d'essai de </w:t>
      </w:r>
      <w:r>
        <w:rPr>
          <w:rFonts w:ascii="Times New Roman" w:cs="Times New Roman" w:eastAsia="Times New Roman" w:hAnsi="Times New Roman"/>
          <w:b/>
          <w:bCs/>
          <w:sz w:val="21"/>
          <w:szCs w:val="21"/>
        </w:rPr>
        <w:t xml:space="preserve">un (1) mois</w:t>
      </w:r>
      <w:r>
        <w:rPr>
          <w:rFonts w:ascii="Times New Roman" w:cs="Times New Roman" w:eastAsia="Times New Roman" w:hAnsi="Times New Roman"/>
          <w:sz w:val="21"/>
          <w:szCs w:val="21"/>
        </w:rPr>
        <w:t xml:space="preserve"> à compter du 4 janvier 2027, soit jusqu'au 3 février 2027 inclus, conformément à l'article L.1242-10 du Code du travail. Pendant cette période, chacune des parties peut mettre fin au contrat sans indemnité, dans le respect des délais de prévenance prévus par les articles L.1221-25 et L.1221-26 du même code.</w:t>
      </w:r>
    </w:p>
    <w:p>
      <w:pPr>
        <w:pStyle w:val="Heading2"/>
        <w:keepNext/>
        <w:spacing w:after="90" w:before="220"/>
      </w:pPr>
      <w:r>
        <w:rPr>
          <w:rFonts w:ascii="Times New Roman" w:cs="Times New Roman" w:eastAsia="Times New Roman" w:hAnsi="Times New Roman"/>
          <w:b/>
          <w:bCs/>
          <w:sz w:val="22"/>
          <w:szCs w:val="22"/>
        </w:rPr>
        <w:t xml:space="preserve">ARTICLE 6 – DURÉE ET HORAIRES DE TRAVAIL</w:t>
      </w:r>
    </w:p>
    <w:p>
      <w:pPr>
        <w:spacing w:after="100" w:before="0" w:line="264"/>
        <w:jc w:val="both"/>
      </w:pPr>
      <w:r>
        <w:rPr>
          <w:rFonts w:ascii="Times New Roman" w:cs="Times New Roman" w:eastAsia="Times New Roman" w:hAnsi="Times New Roman"/>
          <w:sz w:val="21"/>
          <w:szCs w:val="21"/>
        </w:rPr>
        <w:t xml:space="preserve">Le Salarié est engagé à temps complet, pour une durée hebdomadaire de </w:t>
      </w:r>
      <w:r>
        <w:rPr>
          <w:rFonts w:ascii="Times New Roman" w:cs="Times New Roman" w:eastAsia="Times New Roman" w:hAnsi="Times New Roman"/>
          <w:b/>
          <w:bCs/>
          <w:sz w:val="21"/>
          <w:szCs w:val="21"/>
        </w:rPr>
        <w:t xml:space="preserve">35 heures</w:t>
      </w:r>
      <w:r>
        <w:rPr>
          <w:rFonts w:ascii="Times New Roman" w:cs="Times New Roman" w:eastAsia="Times New Roman" w:hAnsi="Times New Roman"/>
          <w:sz w:val="21"/>
          <w:szCs w:val="21"/>
        </w:rPr>
        <w:t xml:space="preserve"> de travail effectif, soit 151,67 heures mensuelles.</w:t>
      </w:r>
    </w:p>
    <w:p>
      <w:pPr>
        <w:spacing w:after="100" w:before="0" w:line="264"/>
        <w:jc w:val="both"/>
      </w:pPr>
      <w:r>
        <w:rPr>
          <w:rFonts w:ascii="Times New Roman" w:cs="Times New Roman" w:eastAsia="Times New Roman" w:hAnsi="Times New Roman"/>
          <w:sz w:val="21"/>
          <w:szCs w:val="21"/>
        </w:rPr>
        <w:t xml:space="preserve">Le Salarié travaille du lundi au jeudi de 9 h 00 à 17 h 30, avec une pause déjeuner d'une heure comprise entre 12 h 30 et 13 h 30, soit sept heures et demie de travail effectif par jour, et le vendredi de 9 h 00 à 14 h 00, soit cinq heures de travail effectif, ce qui représente un total de 35 heures par semaine.</w:t>
      </w:r>
    </w:p>
    <w:p>
      <w:pPr>
        <w:spacing w:after="100" w:before="0" w:line="264"/>
        <w:jc w:val="both"/>
      </w:pPr>
      <w:r>
        <w:rPr>
          <w:rFonts w:ascii="Times New Roman" w:cs="Times New Roman" w:eastAsia="Times New Roman" w:hAnsi="Times New Roman"/>
          <w:sz w:val="21"/>
          <w:szCs w:val="21"/>
        </w:rPr>
        <w:t xml:space="preserve">Les horaires pourront être aménagés ponctuellement en fonction des contraintes de service, après information préalable du Salarié dans un délai raisonnable, dans le respect des durées maximales de travail et des temps de repos quotidiens et hebdomadaires prévus par la loi.</w:t>
      </w:r>
    </w:p>
    <w:p>
      <w:pPr>
        <w:pStyle w:val="Heading2"/>
        <w:keepNext/>
        <w:spacing w:after="90" w:before="220"/>
      </w:pPr>
      <w:r>
        <w:rPr>
          <w:rFonts w:ascii="Times New Roman" w:cs="Times New Roman" w:eastAsia="Times New Roman" w:hAnsi="Times New Roman"/>
          <w:b/>
          <w:bCs/>
          <w:sz w:val="22"/>
          <w:szCs w:val="22"/>
        </w:rPr>
        <w:t xml:space="preserve">ARTICLE 7 – HEURES SUPPLÉMENTAIRES</w:t>
      </w:r>
    </w:p>
    <w:p>
      <w:pPr>
        <w:spacing w:after="100" w:before="0" w:line="264"/>
        <w:jc w:val="both"/>
      </w:pPr>
      <w:r>
        <w:rPr>
          <w:rFonts w:ascii="Times New Roman" w:cs="Times New Roman" w:eastAsia="Times New Roman" w:hAnsi="Times New Roman"/>
          <w:sz w:val="21"/>
          <w:szCs w:val="21"/>
        </w:rPr>
        <w:t xml:space="preserve">Les heures supplémentaires ne peuvent être accomplies qu'à la demande expresse ou avec l'accord préalable écrit de la hiérarchie. Elles sont majorées de 25 % pour les huit premières heures supplémentaires effectuées chaque semaine et de 50 % au-delà, ou, à la demande de la Société et après information du Salarié, compensées par un repos équivalent. Le contingent annuel d'heures supplémentaires est fixé à 220 heures par salarié.</w:t>
      </w:r>
    </w:p>
    <w:p>
      <w:pPr>
        <w:pStyle w:val="Heading2"/>
        <w:keepNext/>
        <w:spacing w:after="90" w:before="220"/>
      </w:pPr>
      <w:r>
        <w:rPr>
          <w:rFonts w:ascii="Times New Roman" w:cs="Times New Roman" w:eastAsia="Times New Roman" w:hAnsi="Times New Roman"/>
          <w:b/>
          <w:bCs/>
          <w:sz w:val="22"/>
          <w:szCs w:val="22"/>
        </w:rPr>
        <w:t xml:space="preserve">ARTICLE 8 – TÉLÉTRAVAIL</w:t>
      </w:r>
    </w:p>
    <w:p>
      <w:pPr>
        <w:spacing w:after="100" w:before="0" w:line="264"/>
        <w:jc w:val="both"/>
      </w:pPr>
      <w:r>
        <w:rPr>
          <w:rFonts w:ascii="Times New Roman" w:cs="Times New Roman" w:eastAsia="Times New Roman" w:hAnsi="Times New Roman"/>
          <w:sz w:val="21"/>
          <w:szCs w:val="21"/>
        </w:rPr>
        <w:t xml:space="preserve">Après la période d'essai, et conformément à l'accord collectif de l'entreprise du 9 septembre 2025, le Salarié pourra télétravailler </w:t>
      </w:r>
      <w:r>
        <w:rPr>
          <w:rFonts w:ascii="Times New Roman" w:cs="Times New Roman" w:eastAsia="Times New Roman" w:hAnsi="Times New Roman"/>
          <w:b/>
          <w:bCs/>
          <w:sz w:val="21"/>
          <w:szCs w:val="21"/>
        </w:rPr>
        <w:t xml:space="preserve">un (1) jour par semaine</w:t>
      </w:r>
      <w:r>
        <w:rPr>
          <w:rFonts w:ascii="Times New Roman" w:cs="Times New Roman" w:eastAsia="Times New Roman" w:hAnsi="Times New Roman"/>
          <w:sz w:val="21"/>
          <w:szCs w:val="21"/>
        </w:rPr>
        <w:t xml:space="preserve">, fixé en accord avec sa responsable hiérarchique, à son domicile situé à Paris. Le télétravail est conditionné à la disposition d'un espace de travail adapté et d'une connexion sécurisée. Il ne peut être exercé à l'étranger. Les données sensibles de la Société ne peuvent être consultées que depuis l'ordinateur professionnel via le réseau privé virtuel de la Société. Une indemnité de 11 euros par mois est versée au titre des frais de télétravail.</w:t>
      </w:r>
    </w:p>
    <w:p>
      <w:pPr>
        <w:pStyle w:val="Heading2"/>
        <w:keepNext/>
        <w:spacing w:after="90" w:before="220"/>
      </w:pPr>
      <w:r>
        <w:rPr>
          <w:rFonts w:ascii="Times New Roman" w:cs="Times New Roman" w:eastAsia="Times New Roman" w:hAnsi="Times New Roman"/>
          <w:b/>
          <w:bCs/>
          <w:sz w:val="22"/>
          <w:szCs w:val="22"/>
        </w:rPr>
        <w:t xml:space="preserve">ARTICLE 9 – RÉMUNÉRATION</w:t>
      </w:r>
    </w:p>
    <w:p>
      <w:pPr>
        <w:spacing w:after="100" w:before="0" w:line="264"/>
        <w:jc w:val="both"/>
      </w:pPr>
      <w:r>
        <w:rPr>
          <w:rFonts w:ascii="Times New Roman" w:cs="Times New Roman" w:eastAsia="Times New Roman" w:hAnsi="Times New Roman"/>
          <w:sz w:val="21"/>
          <w:szCs w:val="21"/>
        </w:rPr>
        <w:t xml:space="preserve">En contrepartie de son travail, le Salarié percevra un salaire brut mensuel de </w:t>
      </w:r>
      <w:r>
        <w:rPr>
          <w:rFonts w:ascii="Times New Roman" w:cs="Times New Roman" w:eastAsia="Times New Roman" w:hAnsi="Times New Roman"/>
          <w:b/>
          <w:bCs/>
          <w:sz w:val="21"/>
          <w:szCs w:val="21"/>
        </w:rPr>
        <w:t xml:space="preserve">2 900 euros (deux mille neuf cents euros)</w:t>
      </w:r>
      <w:r>
        <w:rPr>
          <w:rFonts w:ascii="Times New Roman" w:cs="Times New Roman" w:eastAsia="Times New Roman" w:hAnsi="Times New Roman"/>
          <w:sz w:val="21"/>
          <w:szCs w:val="21"/>
        </w:rPr>
        <w:t xml:space="preserve">, versé sur douze mois, soit une rémunération brute annuelle de 34 800 euros, pour un temps de travail de 35 heures hebdomadaires.</w:t>
      </w:r>
    </w:p>
    <w:p>
      <w:pPr>
        <w:spacing w:after="100" w:before="0" w:line="264"/>
        <w:jc w:val="both"/>
      </w:pPr>
      <w:r>
        <w:rPr>
          <w:rFonts w:ascii="Times New Roman" w:cs="Times New Roman" w:eastAsia="Times New Roman" w:hAnsi="Times New Roman"/>
          <w:sz w:val="21"/>
          <w:szCs w:val="21"/>
        </w:rPr>
        <w:t xml:space="preserve">La rémunération est exprimée en euros (EUR) et versée par virement bancaire le dernier jour ouvré de chaque mois, sur le compte désigné par le Salarié. Un bulletin de paie est remis chaque mois sous forme dématérialisée. La rémunération sera revue conformément aux dispositions conventionnelles et à la politique salariale de la Société, sans que cette revue constitue une obligation d'augmentation.</w:t>
      </w:r>
    </w:p>
    <w:p>
      <w:pPr>
        <w:spacing w:after="100" w:before="0" w:line="264"/>
        <w:jc w:val="both"/>
      </w:pPr>
      <w:r>
        <w:rPr>
          <w:rFonts w:ascii="Times New Roman" w:cs="Times New Roman" w:eastAsia="Times New Roman" w:hAnsi="Times New Roman"/>
          <w:sz w:val="21"/>
          <w:szCs w:val="21"/>
        </w:rPr>
        <w:t xml:space="preserve">Une prime de fin de projet d'un montant brut de 1 500 euros sera versée avec le dernier bulletin de paie si le Salarié a contribué à la livraison des modèles prévus dans la feuille de route du programme, selon l'appréciation de la Direction technique. Le Salarié bénéficie par ailleurs des dispositifs de participation et d'intéressement de la Société dans les conditions applicables aux salariés en contrat à durée déterminée.</w:t>
      </w:r>
    </w:p>
    <w:p>
      <w:pPr>
        <w:pStyle w:val="Heading2"/>
        <w:keepNext/>
        <w:spacing w:after="90" w:before="220"/>
      </w:pPr>
      <w:r>
        <w:rPr>
          <w:rFonts w:ascii="Times New Roman" w:cs="Times New Roman" w:eastAsia="Times New Roman" w:hAnsi="Times New Roman"/>
          <w:b/>
          <w:bCs/>
          <w:sz w:val="22"/>
          <w:szCs w:val="22"/>
        </w:rPr>
        <w:t xml:space="preserve">ARTICLE 10 – AVANTAGES</w:t>
      </w:r>
    </w:p>
    <w:p>
      <w:pPr>
        <w:pStyle w:val="ListParagraph"/>
        <w:numPr>
          <w:ilvl w:val="0"/>
          <w:numId w:val="2"/>
        </w:numPr>
        <w:spacing w:after="50" w:line="264"/>
        <w:jc w:val="both"/>
      </w:pPr>
      <w:r>
        <w:rPr>
          <w:rFonts w:ascii="Times New Roman" w:cs="Times New Roman" w:eastAsia="Times New Roman" w:hAnsi="Times New Roman"/>
          <w:sz w:val="21"/>
          <w:szCs w:val="21"/>
        </w:rPr>
        <w:t xml:space="preserve">titres-restaurant d'une valeur faciale de 10 euros par jour travaillé, pris en charge à hauteur de 60 % par la Société, ou accès au restaurant d'entreprise du siège ;</w:t>
      </w:r>
    </w:p>
    <w:p>
      <w:pPr>
        <w:pStyle w:val="ListParagraph"/>
        <w:numPr>
          <w:ilvl w:val="0"/>
          <w:numId w:val="2"/>
        </w:numPr>
        <w:spacing w:after="50" w:line="264"/>
        <w:jc w:val="both"/>
      </w:pPr>
      <w:r>
        <w:rPr>
          <w:rFonts w:ascii="Times New Roman" w:cs="Times New Roman" w:eastAsia="Times New Roman" w:hAnsi="Times New Roman"/>
          <w:sz w:val="21"/>
          <w:szCs w:val="21"/>
        </w:rPr>
        <w:t xml:space="preserve">complémentaire santé et prévoyance du groupe Atlas, la Société prenant en charge 60 % de la cotisation ;</w:t>
      </w:r>
    </w:p>
    <w:p>
      <w:pPr>
        <w:pStyle w:val="ListParagraph"/>
        <w:numPr>
          <w:ilvl w:val="0"/>
          <w:numId w:val="2"/>
        </w:numPr>
        <w:spacing w:after="50" w:line="264"/>
        <w:jc w:val="both"/>
      </w:pPr>
      <w:r>
        <w:rPr>
          <w:rFonts w:ascii="Times New Roman" w:cs="Times New Roman" w:eastAsia="Times New Roman" w:hAnsi="Times New Roman"/>
          <w:sz w:val="21"/>
          <w:szCs w:val="21"/>
        </w:rPr>
        <w:t xml:space="preserve">remboursement de 50 % des frais d'abonnement aux transports en commun Île-de-France ;</w:t>
      </w:r>
    </w:p>
    <w:p>
      <w:pPr>
        <w:pStyle w:val="ListParagraph"/>
        <w:numPr>
          <w:ilvl w:val="0"/>
          <w:numId w:val="2"/>
        </w:numPr>
        <w:spacing w:after="50" w:line="264"/>
        <w:jc w:val="both"/>
      </w:pPr>
      <w:r>
        <w:rPr>
          <w:rFonts w:ascii="Times New Roman" w:cs="Times New Roman" w:eastAsia="Times New Roman" w:hAnsi="Times New Roman"/>
          <w:sz w:val="21"/>
          <w:szCs w:val="21"/>
        </w:rPr>
        <w:t xml:space="preserve">fourniture d'un ordinateur portable professionnel, d'un second écran et d'un accès aux plateformes de données sécurisées ;</w:t>
      </w:r>
    </w:p>
    <w:p>
      <w:pPr>
        <w:pStyle w:val="ListParagraph"/>
        <w:numPr>
          <w:ilvl w:val="0"/>
          <w:numId w:val="2"/>
        </w:numPr>
        <w:spacing w:after="50" w:line="264"/>
        <w:jc w:val="both"/>
      </w:pPr>
      <w:r>
        <w:rPr>
          <w:rFonts w:ascii="Times New Roman" w:cs="Times New Roman" w:eastAsia="Times New Roman" w:hAnsi="Times New Roman"/>
          <w:sz w:val="21"/>
          <w:szCs w:val="21"/>
        </w:rPr>
        <w:t xml:space="preserve">accès à l'espace de bien-être du siège (salle de sport, conciergerie) et aux tarifs préférentiels sur les produits d'assurance du groupe.</w:t>
      </w:r>
    </w:p>
    <w:p>
      <w:pPr>
        <w:pStyle w:val="Heading2"/>
        <w:keepNext/>
        <w:spacing w:after="90" w:before="220"/>
      </w:pPr>
      <w:r>
        <w:rPr>
          <w:rFonts w:ascii="Times New Roman" w:cs="Times New Roman" w:eastAsia="Times New Roman" w:hAnsi="Times New Roman"/>
          <w:b/>
          <w:bCs/>
          <w:sz w:val="22"/>
          <w:szCs w:val="22"/>
        </w:rPr>
        <w:t xml:space="preserve">ARTICLE 11 – CONGÉS PAYÉS</w:t>
      </w:r>
    </w:p>
    <w:p>
      <w:pPr>
        <w:spacing w:after="100" w:before="0" w:line="264"/>
        <w:jc w:val="both"/>
      </w:pPr>
      <w:r>
        <w:rPr>
          <w:rFonts w:ascii="Times New Roman" w:cs="Times New Roman" w:eastAsia="Times New Roman" w:hAnsi="Times New Roman"/>
          <w:sz w:val="21"/>
          <w:szCs w:val="21"/>
        </w:rPr>
        <w:t xml:space="preserve">Le Salarié bénéficie des congés payés dans les conditions légales et conventionnelles, soit </w:t>
      </w:r>
      <w:r>
        <w:rPr>
          <w:rFonts w:ascii="Times New Roman" w:cs="Times New Roman" w:eastAsia="Times New Roman" w:hAnsi="Times New Roman"/>
          <w:b/>
          <w:bCs/>
          <w:sz w:val="21"/>
          <w:szCs w:val="21"/>
        </w:rPr>
        <w:t xml:space="preserve">25 jours ouvrés par an</w:t>
      </w:r>
      <w:r>
        <w:rPr>
          <w:rFonts w:ascii="Times New Roman" w:cs="Times New Roman" w:eastAsia="Times New Roman" w:hAnsi="Times New Roman"/>
          <w:sz w:val="21"/>
          <w:szCs w:val="21"/>
        </w:rPr>
        <w:t xml:space="preserve">, acquis à raison de 2,08 jours ouvrés par mois de travail effectif. La période de référence court du 1er juin au 31 mai. Les dates de congés sont fixées d'un commun accord avec la hiérarchie, en tenant compte des nécessités du service. Les congés non pris à l'échéance du contrat donnent lieu au versement d'une indemnité compensatrice. La Société accorde également un jour de congé exceptionnel pour mariage ou PACS et trois jours en cas de naissance ou d'adoption, dans les conditions prévues par la convention collective.</w:t>
      </w:r>
    </w:p>
    <w:p>
      <w:pPr>
        <w:pStyle w:val="Heading2"/>
        <w:keepNext/>
        <w:spacing w:after="90" w:before="220"/>
      </w:pPr>
      <w:r>
        <w:rPr>
          <w:rFonts w:ascii="Times New Roman" w:cs="Times New Roman" w:eastAsia="Times New Roman" w:hAnsi="Times New Roman"/>
          <w:b/>
          <w:bCs/>
          <w:sz w:val="22"/>
          <w:szCs w:val="22"/>
        </w:rPr>
        <w:t xml:space="preserve">ARTICLE 12 – CONFIDENTIALITÉ</w:t>
      </w:r>
    </w:p>
    <w:p>
      <w:pPr>
        <w:spacing w:after="100" w:before="0" w:line="264"/>
        <w:jc w:val="both"/>
      </w:pPr>
      <w:r>
        <w:rPr>
          <w:rFonts w:ascii="Times New Roman" w:cs="Times New Roman" w:eastAsia="Times New Roman" w:hAnsi="Times New Roman"/>
          <w:sz w:val="21"/>
          <w:szCs w:val="21"/>
        </w:rPr>
        <w:t xml:space="preserve">Pendant toute la durée du contrat et sans limitation de durée après son terme, le Salarié s'engage à observer la plus stricte confidentialité sur l'ensemble des informations dont il a connaissance dans l'exercice de ses fonctions : secret professionnel applicable aux entreprises d'assurance, données relatives aux assurés et aux sinistres, informations d'ordre médical ou financier, modèles actuariels, grilles tarifaires, règles de souscription et stratégies commerciales de la Société.</w:t>
      </w:r>
    </w:p>
    <w:p>
      <w:pPr>
        <w:spacing w:after="100" w:before="0" w:line="264"/>
        <w:jc w:val="both"/>
      </w:pPr>
      <w:r>
        <w:rPr>
          <w:rFonts w:ascii="Times New Roman" w:cs="Times New Roman" w:eastAsia="Times New Roman" w:hAnsi="Times New Roman"/>
          <w:sz w:val="21"/>
          <w:szCs w:val="21"/>
        </w:rPr>
        <w:t xml:space="preserve">Le Salarié s'interdit de divulguer, copier, transmettre ou utiliser ces informations à des fins étrangères à l'exécution du contrat. À la fin du contrat, quelle qu'en soit la cause, il restituera l'ensemble des documents, supports, accès et matériels appartenant à la Société, et supprimera toute copie détenue sur des supports personnels. Tout manquement pourra donner lieu à des sanctions disciplinaires et à des poursuites.</w:t>
      </w:r>
    </w:p>
    <w:p>
      <w:pPr>
        <w:pStyle w:val="Heading2"/>
        <w:keepNext/>
        <w:spacing w:after="90" w:before="220"/>
      </w:pPr>
      <w:r>
        <w:rPr>
          <w:rFonts w:ascii="Times New Roman" w:cs="Times New Roman" w:eastAsia="Times New Roman" w:hAnsi="Times New Roman"/>
          <w:b/>
          <w:bCs/>
          <w:sz w:val="22"/>
          <w:szCs w:val="22"/>
        </w:rPr>
        <w:t xml:space="preserve">ARTICLE 13 – PROPRIÉTÉ INTELLECTUELLE</w:t>
      </w:r>
    </w:p>
    <w:p>
      <w:pPr>
        <w:spacing w:after="100" w:before="0" w:line="264"/>
        <w:jc w:val="both"/>
      </w:pPr>
      <w:r>
        <w:rPr>
          <w:rFonts w:ascii="Times New Roman" w:cs="Times New Roman" w:eastAsia="Times New Roman" w:hAnsi="Times New Roman"/>
          <w:sz w:val="21"/>
          <w:szCs w:val="21"/>
        </w:rPr>
        <w:t xml:space="preserve">Conformément à l'article L.113-9 du Code de la propriété intellectuelle, les droits patrimoniaux sur les logiciels, scripts, programmes, bases de données, modèles statistiques et algorithmes créés par le Salarié dans l'exercice de ses fonctions ou d'après les instructions de la Société appartiennent à la Société. Cette cession s'opère au fur et à mesure de la création, pour le monde entier et pour la durée légale de protection des droits, et couvre notamment les modèles de scoring, les codes sources, les jeux de données enrichis et la documentation associée, sans rémunération supplémentaire, celle-ci étant incluse dans le salaire convenu.</w:t>
      </w:r>
    </w:p>
    <w:p>
      <w:pPr>
        <w:spacing w:after="100" w:before="0" w:line="264"/>
        <w:jc w:val="both"/>
      </w:pPr>
      <w:r>
        <w:rPr>
          <w:rFonts w:ascii="Times New Roman" w:cs="Times New Roman" w:eastAsia="Times New Roman" w:hAnsi="Times New Roman"/>
          <w:sz w:val="21"/>
          <w:szCs w:val="21"/>
        </w:rPr>
        <w:t xml:space="preserve">Les inventions de mission réalisées par le Salarié sont régies par l'article L.611-7 du Code de la propriété intellectuelle. Le Salarié s'engage à signaler sans délai à la Société toute création ou invention susceptible de protection et à coopérer, le cas échéant, aux démarches de dépôt. La rémunération supplémentaire éventuellement due au titre d'une invention de mission est fixée selon les dispositions conventionnelles. Le Salarié conserve le droit de mentionner, dans ses références professionnelles, la nature générale des travaux réalisés, sous réserve du respect de ses obligations de confidentialité.</w:t>
      </w:r>
    </w:p>
    <w:p>
      <w:pPr>
        <w:pStyle w:val="Heading2"/>
        <w:keepNext/>
        <w:spacing w:after="90" w:before="220"/>
      </w:pPr>
      <w:r>
        <w:rPr>
          <w:rFonts w:ascii="Times New Roman" w:cs="Times New Roman" w:eastAsia="Times New Roman" w:hAnsi="Times New Roman"/>
          <w:b/>
          <w:bCs/>
          <w:sz w:val="22"/>
          <w:szCs w:val="22"/>
        </w:rPr>
        <w:t xml:space="preserve">ARTICLE 14 – PROTECTION DES DONNÉES PERSONNELLES</w:t>
      </w:r>
    </w:p>
    <w:p>
      <w:pPr>
        <w:spacing w:after="100" w:before="0" w:line="264"/>
        <w:jc w:val="both"/>
      </w:pPr>
      <w:r>
        <w:rPr>
          <w:rFonts w:ascii="Times New Roman" w:cs="Times New Roman" w:eastAsia="Times New Roman" w:hAnsi="Times New Roman"/>
          <w:sz w:val="21"/>
          <w:szCs w:val="21"/>
        </w:rPr>
        <w:t xml:space="preserve">La Société traite les données personnelles du Salarié aux fins de gestion du personnel, de paie et du respect de ses obligations légales, conformément au règlement (UE) 2016/679 du 27 avril 2016 (RGPD) et à la loi du 6 janvier 1978 modifiée. Le Salarié dispose d'un droit d'accès, de rectification, d'effacement, de limitation et d'opposition qu'il peut exercer auprès de le délégué à la protection des données du groupe Atlas, à l'adresse dpo@atlas-mutuelle.example.</w:t>
      </w:r>
    </w:p>
    <w:p>
      <w:pPr>
        <w:spacing w:after="100" w:before="0" w:line="264"/>
        <w:jc w:val="both"/>
      </w:pPr>
      <w:r>
        <w:rPr>
          <w:rFonts w:ascii="Times New Roman" w:cs="Times New Roman" w:eastAsia="Times New Roman" w:hAnsi="Times New Roman"/>
          <w:sz w:val="21"/>
          <w:szCs w:val="21"/>
        </w:rPr>
        <w:t xml:space="preserve">Dans l'exercice de ses fonctions, le Salarié est susceptible d'accéder à des données à caractère personnel. Le Salarié s'engage à ne les traiter que sur instruction de la Société, à respecter la politique de sécurité des systèmes d'information, à ne pas extraire de données hors des environnements autorisés et à signaler sans délai toute violation de données dont il aurait connaissance. Compte tenu de la sensibilité des données d'assurance, notamment des données de santé, le Salarié suivra la formation obligatoire en protection des données dans le mois suivant son arrivée et respectera les règles d'anonymisation et de pseudonymisation applicables aux jeux de données de modélisation.</w:t>
      </w:r>
    </w:p>
    <w:p>
      <w:pPr>
        <w:pStyle w:val="Heading2"/>
        <w:keepNext/>
        <w:spacing w:after="90" w:before="220"/>
      </w:pPr>
      <w:r>
        <w:rPr>
          <w:rFonts w:ascii="Times New Roman" w:cs="Times New Roman" w:eastAsia="Times New Roman" w:hAnsi="Times New Roman"/>
          <w:b/>
          <w:bCs/>
          <w:sz w:val="22"/>
          <w:szCs w:val="22"/>
        </w:rPr>
        <w:t xml:space="preserve">ARTICLE 15 – LOYAUTÉ ET ABSENCE DE NON-CONCURRENCE</w:t>
      </w:r>
    </w:p>
    <w:p>
      <w:pPr>
        <w:spacing w:after="100" w:before="0" w:line="264"/>
        <w:jc w:val="both"/>
      </w:pPr>
      <w:r>
        <w:rPr>
          <w:rFonts w:ascii="Times New Roman" w:cs="Times New Roman" w:eastAsia="Times New Roman" w:hAnsi="Times New Roman"/>
          <w:sz w:val="21"/>
          <w:szCs w:val="21"/>
        </w:rPr>
        <w:t xml:space="preserve">Pendant toute la durée du contrat, le Salarié est tenu à une obligation de loyauté envers la Société. Il s'interdit d'exercer, directement ou indirectement, une activité concurrente de celle de la Société, et d'utiliser les informations obtenues dans l'exercice de ses fonctions au profit d'un tiers. Toute activité complémentaire doit faire l'objet d'une information écrite préalable à la Direction des Ressources Humaines.</w:t>
      </w:r>
    </w:p>
    <w:p>
      <w:pPr>
        <w:spacing w:after="100" w:before="0" w:line="264"/>
        <w:jc w:val="both"/>
      </w:pPr>
      <w:r>
        <w:rPr>
          <w:rFonts w:ascii="Times New Roman" w:cs="Times New Roman" w:eastAsia="Times New Roman" w:hAnsi="Times New Roman"/>
          <w:sz w:val="21"/>
          <w:szCs w:val="21"/>
        </w:rPr>
        <w:t xml:space="preserve">Compte tenu de la durée limitée du contrat et de la nature des fonctions, les parties conviennent qu'aucune clause de non-concurrence ne s'appliquera après le terme du contrat. Cette absence de restriction ne dispense pas le Salarié du respect de ses obligations de confidentialité prévues à l'article 12.</w:t>
      </w:r>
    </w:p>
    <w:p>
      <w:pPr>
        <w:pStyle w:val="Heading2"/>
        <w:keepNext/>
        <w:spacing w:after="90" w:before="220"/>
      </w:pPr>
      <w:r>
        <w:rPr>
          <w:rFonts w:ascii="Times New Roman" w:cs="Times New Roman" w:eastAsia="Times New Roman" w:hAnsi="Times New Roman"/>
          <w:b/>
          <w:bCs/>
          <w:sz w:val="22"/>
          <w:szCs w:val="22"/>
        </w:rPr>
        <w:t xml:space="preserve">ARTICLE 16 – OBLIGATIONS DE L'EMPLOYEUR</w:t>
      </w:r>
    </w:p>
    <w:p>
      <w:pPr>
        <w:spacing w:after="100" w:before="0" w:line="264"/>
        <w:jc w:val="both"/>
      </w:pPr>
      <w:r>
        <w:rPr>
          <w:rFonts w:ascii="Times New Roman" w:cs="Times New Roman" w:eastAsia="Times New Roman" w:hAnsi="Times New Roman"/>
          <w:sz w:val="21"/>
          <w:szCs w:val="21"/>
        </w:rPr>
        <w:t xml:space="preserve">La Société s'engage à :</w:t>
      </w:r>
    </w:p>
    <w:p>
      <w:pPr>
        <w:pStyle w:val="ListParagraph"/>
        <w:numPr>
          <w:ilvl w:val="0"/>
          <w:numId w:val="2"/>
        </w:numPr>
        <w:spacing w:after="50" w:line="264"/>
        <w:jc w:val="both"/>
      </w:pPr>
      <w:r>
        <w:rPr>
          <w:rFonts w:ascii="Times New Roman" w:cs="Times New Roman" w:eastAsia="Times New Roman" w:hAnsi="Times New Roman"/>
          <w:sz w:val="21"/>
          <w:szCs w:val="21"/>
        </w:rPr>
        <w:t xml:space="preserve">fournir à le Salarié les moyens matériels et logiciels nécessaires à l'exécution de ses missions, notamment un ordinateur portable, des licences logicielles, un accès sécurisé aux environnements de données et un badge d'accès au siège ;</w:t>
      </w:r>
    </w:p>
    <w:p>
      <w:pPr>
        <w:pStyle w:val="ListParagraph"/>
        <w:numPr>
          <w:ilvl w:val="0"/>
          <w:numId w:val="2"/>
        </w:numPr>
        <w:spacing w:after="50" w:line="264"/>
        <w:jc w:val="both"/>
      </w:pPr>
      <w:r>
        <w:rPr>
          <w:rFonts w:ascii="Times New Roman" w:cs="Times New Roman" w:eastAsia="Times New Roman" w:hAnsi="Times New Roman"/>
          <w:sz w:val="21"/>
          <w:szCs w:val="21"/>
        </w:rPr>
        <w:t xml:space="preserve">verser la rémunération et les avantages prévus au présent contrat aux échéances convenues ;</w:t>
      </w:r>
    </w:p>
    <w:p>
      <w:pPr>
        <w:pStyle w:val="ListParagraph"/>
        <w:numPr>
          <w:ilvl w:val="0"/>
          <w:numId w:val="2"/>
        </w:numPr>
        <w:spacing w:after="50" w:line="264"/>
        <w:jc w:val="both"/>
      </w:pPr>
      <w:r>
        <w:rPr>
          <w:rFonts w:ascii="Times New Roman" w:cs="Times New Roman" w:eastAsia="Times New Roman" w:hAnsi="Times New Roman"/>
          <w:sz w:val="21"/>
          <w:szCs w:val="21"/>
        </w:rPr>
        <w:t xml:space="preserve">assurer la sécurité et protéger la santé physique et mentale du Salarié, et prévenir toute situation de harcèlement ou de discrimination ;</w:t>
      </w:r>
    </w:p>
    <w:p>
      <w:pPr>
        <w:pStyle w:val="ListParagraph"/>
        <w:numPr>
          <w:ilvl w:val="0"/>
          <w:numId w:val="2"/>
        </w:numPr>
        <w:spacing w:after="50" w:line="264"/>
        <w:jc w:val="both"/>
      </w:pPr>
      <w:r>
        <w:rPr>
          <w:rFonts w:ascii="Times New Roman" w:cs="Times New Roman" w:eastAsia="Times New Roman" w:hAnsi="Times New Roman"/>
          <w:sz w:val="21"/>
          <w:szCs w:val="21"/>
        </w:rPr>
        <w:t xml:space="preserve">veiller au développement des compétences du Salarié, notamment au moyen d'actions de formation, dont une formation obligatoire à la déontologie de l'assurance et à la lutte contre la fraude ;</w:t>
      </w:r>
    </w:p>
    <w:p>
      <w:pPr>
        <w:pStyle w:val="ListParagraph"/>
        <w:numPr>
          <w:ilvl w:val="0"/>
          <w:numId w:val="2"/>
        </w:numPr>
        <w:spacing w:after="50" w:line="264"/>
        <w:jc w:val="both"/>
      </w:pPr>
      <w:r>
        <w:rPr>
          <w:rFonts w:ascii="Times New Roman" w:cs="Times New Roman" w:eastAsia="Times New Roman" w:hAnsi="Times New Roman"/>
          <w:sz w:val="21"/>
          <w:szCs w:val="21"/>
        </w:rPr>
        <w:t xml:space="preserve">respecter la vie privée du Salarié et le droit à la déconnexion en dehors des horaires de travail.</w:t>
      </w:r>
    </w:p>
    <w:p>
      <w:pPr>
        <w:pStyle w:val="Heading2"/>
        <w:keepNext/>
        <w:spacing w:after="90" w:before="220"/>
      </w:pPr>
      <w:r>
        <w:rPr>
          <w:rFonts w:ascii="Times New Roman" w:cs="Times New Roman" w:eastAsia="Times New Roman" w:hAnsi="Times New Roman"/>
          <w:b/>
          <w:bCs/>
          <w:sz w:val="22"/>
          <w:szCs w:val="22"/>
        </w:rPr>
        <w:t xml:space="preserve">ARTICLE 17 – OBLIGATIONS DU SALARIÉ</w:t>
      </w:r>
    </w:p>
    <w:p>
      <w:pPr>
        <w:spacing w:after="100" w:before="0" w:line="264"/>
        <w:jc w:val="both"/>
      </w:pPr>
      <w:r>
        <w:rPr>
          <w:rFonts w:ascii="Times New Roman" w:cs="Times New Roman" w:eastAsia="Times New Roman" w:hAnsi="Times New Roman"/>
          <w:sz w:val="21"/>
          <w:szCs w:val="21"/>
        </w:rPr>
        <w:t xml:space="preserve">Le Salarié s'engage à :</w:t>
      </w:r>
    </w:p>
    <w:p>
      <w:pPr>
        <w:pStyle w:val="ListParagraph"/>
        <w:numPr>
          <w:ilvl w:val="0"/>
          <w:numId w:val="2"/>
        </w:numPr>
        <w:spacing w:after="50" w:line="264"/>
        <w:jc w:val="both"/>
      </w:pPr>
      <w:r>
        <w:rPr>
          <w:rFonts w:ascii="Times New Roman" w:cs="Times New Roman" w:eastAsia="Times New Roman" w:hAnsi="Times New Roman"/>
          <w:sz w:val="21"/>
          <w:szCs w:val="21"/>
        </w:rPr>
        <w:t xml:space="preserve">exécuter ses missions avec diligence, rigueur et loyauté, dans le respect des instructions de sa hiérarchie ;</w:t>
      </w:r>
    </w:p>
    <w:p>
      <w:pPr>
        <w:pStyle w:val="ListParagraph"/>
        <w:numPr>
          <w:ilvl w:val="0"/>
          <w:numId w:val="2"/>
        </w:numPr>
        <w:spacing w:after="50" w:line="264"/>
        <w:jc w:val="both"/>
      </w:pPr>
      <w:r>
        <w:rPr>
          <w:rFonts w:ascii="Times New Roman" w:cs="Times New Roman" w:eastAsia="Times New Roman" w:hAnsi="Times New Roman"/>
          <w:sz w:val="21"/>
          <w:szCs w:val="21"/>
        </w:rPr>
        <w:t xml:space="preserve">respecter le règlement intérieur, la charte informatique, la politique de sécurité de l'information et le code de conduite de la Société ;</w:t>
      </w:r>
    </w:p>
    <w:p>
      <w:pPr>
        <w:pStyle w:val="ListParagraph"/>
        <w:numPr>
          <w:ilvl w:val="0"/>
          <w:numId w:val="2"/>
        </w:numPr>
        <w:spacing w:after="50" w:line="264"/>
        <w:jc w:val="both"/>
      </w:pPr>
      <w:r>
        <w:rPr>
          <w:rFonts w:ascii="Times New Roman" w:cs="Times New Roman" w:eastAsia="Times New Roman" w:hAnsi="Times New Roman"/>
          <w:sz w:val="21"/>
          <w:szCs w:val="21"/>
        </w:rPr>
        <w:t xml:space="preserve">informer sans délai la Société de toute absence imprévue et en justifier dans un délai de quarante-huit heures ;</w:t>
      </w:r>
    </w:p>
    <w:p>
      <w:pPr>
        <w:pStyle w:val="ListParagraph"/>
        <w:numPr>
          <w:ilvl w:val="0"/>
          <w:numId w:val="2"/>
        </w:numPr>
        <w:spacing w:after="50" w:line="264"/>
        <w:jc w:val="both"/>
      </w:pPr>
      <w:r>
        <w:rPr>
          <w:rFonts w:ascii="Times New Roman" w:cs="Times New Roman" w:eastAsia="Times New Roman" w:hAnsi="Times New Roman"/>
          <w:sz w:val="21"/>
          <w:szCs w:val="21"/>
        </w:rPr>
        <w:t xml:space="preserve">préserver les biens et matériels confiés et en faire un usage conforme à leur destination professionnelle ;</w:t>
      </w:r>
    </w:p>
    <w:p>
      <w:pPr>
        <w:pStyle w:val="ListParagraph"/>
        <w:numPr>
          <w:ilvl w:val="0"/>
          <w:numId w:val="2"/>
        </w:numPr>
        <w:spacing w:after="50" w:line="264"/>
        <w:jc w:val="both"/>
      </w:pPr>
      <w:r>
        <w:rPr>
          <w:rFonts w:ascii="Times New Roman" w:cs="Times New Roman" w:eastAsia="Times New Roman" w:hAnsi="Times New Roman"/>
          <w:sz w:val="21"/>
          <w:szCs w:val="21"/>
        </w:rPr>
        <w:t xml:space="preserve">signaler tout changement de situation personnelle (adresse, situation familiale, coordonnées bancaires) ayant une incidence sur la gestion administrative de son dossier.</w:t>
      </w:r>
    </w:p>
    <w:p>
      <w:pPr>
        <w:pStyle w:val="Heading2"/>
        <w:keepNext/>
        <w:spacing w:after="90" w:before="220"/>
      </w:pPr>
      <w:r>
        <w:rPr>
          <w:rFonts w:ascii="Times New Roman" w:cs="Times New Roman" w:eastAsia="Times New Roman" w:hAnsi="Times New Roman"/>
          <w:b/>
          <w:bCs/>
          <w:sz w:val="22"/>
          <w:szCs w:val="22"/>
        </w:rPr>
        <w:t xml:space="preserve">ARTICLE 18 – PRÉAVIS ET CONDITIONS DE RUPTURE</w:t>
      </w:r>
    </w:p>
    <w:p>
      <w:pPr>
        <w:spacing w:after="100" w:before="0" w:line="264"/>
        <w:jc w:val="both"/>
      </w:pPr>
      <w:r>
        <w:rPr>
          <w:rFonts w:ascii="Times New Roman" w:cs="Times New Roman" w:eastAsia="Times New Roman" w:hAnsi="Times New Roman"/>
          <w:sz w:val="21"/>
          <w:szCs w:val="21"/>
        </w:rPr>
        <w:t xml:space="preserve">Le contrat à durée déterminée ne peut être rompu avant l'échéance du terme qu'en cas d'accord des parties, de faute grave, de force majeure, d'inaptitude constatée par le médecin du travail, ou lorsque le Salarié justifie d'une embauche en contrat à durée indéterminée, conformément à l'article L.1243-1 du Code du travail. Dans ce dernier cas, le Salarié devra informer la Société par écrit et respectera un préavis calculé à raison d'un jour par semaine de contrat restant à courir, dans la limite de deux semaines.</w:t>
      </w:r>
    </w:p>
    <w:p>
      <w:pPr>
        <w:spacing w:after="100" w:before="0" w:line="264"/>
        <w:jc w:val="both"/>
      </w:pPr>
      <w:r>
        <w:rPr>
          <w:rFonts w:ascii="Times New Roman" w:cs="Times New Roman" w:eastAsia="Times New Roman" w:hAnsi="Times New Roman"/>
          <w:sz w:val="21"/>
          <w:szCs w:val="21"/>
        </w:rPr>
        <w:t xml:space="preserve">En l'absence de renouvellement ou de proposition de contrat à durée indéterminée, le contrat prend fin au terme prévu à l'article 4, sans préavis ni procédure de licenciement. À l'issue du contrat, la Société remet au Salarié un certificat de travail, un reçu pour solde de tout compte et l'attestation destinée à France Travail. Toute rupture anticipée à l'initiative de la Société, hors cas prévus par la loi, ouvre droit à des dommages-intérêts d'un montant au moins égal aux rémunérations qui auraient été perçues jusqu'au terme du contrat.</w:t>
      </w:r>
    </w:p>
    <w:p>
      <w:pPr>
        <w:pStyle w:val="Heading2"/>
        <w:keepNext/>
        <w:spacing w:after="90" w:before="220"/>
      </w:pPr>
      <w:r>
        <w:rPr>
          <w:rFonts w:ascii="Times New Roman" w:cs="Times New Roman" w:eastAsia="Times New Roman" w:hAnsi="Times New Roman"/>
          <w:b/>
          <w:bCs/>
          <w:sz w:val="22"/>
          <w:szCs w:val="22"/>
        </w:rPr>
        <w:t xml:space="preserve">ARTICLE 19 – PROTECTION SOCIALE ET SUIVI MÉDICAL</w:t>
      </w:r>
    </w:p>
    <w:p>
      <w:pPr>
        <w:spacing w:after="100" w:before="0" w:line="264"/>
        <w:jc w:val="both"/>
      </w:pPr>
      <w:r>
        <w:rPr>
          <w:rFonts w:ascii="Times New Roman" w:cs="Times New Roman" w:eastAsia="Times New Roman" w:hAnsi="Times New Roman"/>
          <w:sz w:val="21"/>
          <w:szCs w:val="21"/>
        </w:rPr>
        <w:t xml:space="preserve">Le Salarié est affilié dès son entrée dans la Société au régime de retraite complémentaire obligatoire Agirc-Arrco ainsi qu'aux régimes collectifs de frais de santé et de prévoyance en vigueur, dans les conditions décrites dans la notice remise ce jour. Le Salarié sera convoqué à une visite d'information et de prévention auprès du service de prévention et de santé au travail des Hauts-de-Seine, dans les délais légaux suivant la prise de fonctions.</w:t>
      </w:r>
    </w:p>
    <w:p>
      <w:pPr>
        <w:pStyle w:val="Heading2"/>
        <w:keepNext/>
        <w:spacing w:after="90" w:before="220"/>
      </w:pPr>
      <w:r>
        <w:rPr>
          <w:rFonts w:ascii="Times New Roman" w:cs="Times New Roman" w:eastAsia="Times New Roman" w:hAnsi="Times New Roman"/>
          <w:b/>
          <w:bCs/>
          <w:sz w:val="22"/>
          <w:szCs w:val="22"/>
        </w:rPr>
        <w:t xml:space="preserve">ARTICLE 20 – DISPOSITIONS GÉNÉRALES</w:t>
      </w:r>
    </w:p>
    <w:p>
      <w:pPr>
        <w:spacing w:after="100" w:before="0" w:line="264"/>
        <w:jc w:val="both"/>
      </w:pPr>
      <w:r>
        <w:rPr>
          <w:rFonts w:ascii="Times New Roman" w:cs="Times New Roman" w:eastAsia="Times New Roman" w:hAnsi="Times New Roman"/>
          <w:sz w:val="21"/>
          <w:szCs w:val="21"/>
        </w:rPr>
        <w:t xml:space="preserve">Toute modification du présent contrat fera l'objet d'un avenant écrit signé des deux parties. Si l'une des stipulations du contrat était déclarée nulle ou inapplicable, les autres stipulations resteraient pleinement en vigueur. Le contrat est régi par le droit français. En cas de litige, les parties rechercheront une solution amiable ; à défaut, le conseil de prud'hommes de Nanterre sera seul compétent.</w:t>
      </w:r>
    </w:p>
    <w:p>
      <w:pPr>
        <w:spacing w:after="100" w:before="0" w:line="264"/>
        <w:jc w:val="both"/>
      </w:pPr>
      <w:r>
        <w:rPr>
          <w:rFonts w:ascii="Times New Roman" w:cs="Times New Roman" w:eastAsia="Times New Roman" w:hAnsi="Times New Roman"/>
          <w:sz w:val="21"/>
          <w:szCs w:val="21"/>
        </w:rPr>
        <w:t xml:space="preserve">Le Salarié reconnaît avoir reçu un exemplaire du présent contrat, du règlement intérieur, de la charte informatique et de la notice d'information sur les garanties collectives.</w:t>
      </w:r>
    </w:p>
    <w:p>
      <w:pPr>
        <w:keepNext/>
        <w:spacing w:after="100" w:before="240" w:line="264"/>
        <w:jc w:val="both"/>
      </w:pPr>
      <w:r>
        <w:rPr>
          <w:rFonts w:ascii="Times New Roman" w:cs="Times New Roman" w:eastAsia="Times New Roman" w:hAnsi="Times New Roman"/>
          <w:sz w:val="21"/>
          <w:szCs w:val="21"/>
        </w:rPr>
        <w:t xml:space="preserve">Fait à </w:t>
      </w:r>
      <w:r>
        <w:rPr>
          <w:rFonts w:ascii="Times New Roman" w:cs="Times New Roman" w:eastAsia="Times New Roman" w:hAnsi="Times New Roman"/>
          <w:b/>
          <w:bCs/>
          <w:sz w:val="21"/>
          <w:szCs w:val="21"/>
        </w:rPr>
        <w:t xml:space="preserve">Courbevoie</w:t>
      </w:r>
      <w:r>
        <w:rPr>
          <w:rFonts w:ascii="Times New Roman" w:cs="Times New Roman" w:eastAsia="Times New Roman" w:hAnsi="Times New Roman"/>
          <w:sz w:val="21"/>
          <w:szCs w:val="21"/>
        </w:rPr>
        <w:t xml:space="preserve">, le </w:t>
      </w:r>
      <w:r>
        <w:rPr>
          <w:rFonts w:ascii="Times New Roman" w:cs="Times New Roman" w:eastAsia="Times New Roman" w:hAnsi="Times New Roman"/>
          <w:b/>
          <w:bCs/>
          <w:sz w:val="21"/>
          <w:szCs w:val="21"/>
        </w:rPr>
        <w:t xml:space="preserve">18 novembre 2026</w:t>
      </w:r>
      <w:r>
        <w:rPr>
          <w:rFonts w:ascii="Times New Roman" w:cs="Times New Roman" w:eastAsia="Times New Roman" w:hAnsi="Times New Roman"/>
          <w:sz w:val="21"/>
          <w:szCs w:val="21"/>
        </w:rPr>
        <w:t xml:space="preserve">, en deux exemplaires originaux, dont un remis à chacune des parties.</w:t>
      </w:r>
    </w:p>
    <w:p>
      <w:pPr>
        <w:keepNext/>
        <w:spacing w:after="0" w:before="120" w:line="264"/>
        <w:jc w:val="left"/>
      </w:pPr>
      <w:r>
        <w:rPr>
          <w:rFonts w:ascii="Times New Roman" w:cs="Times New Roman" w:eastAsia="Times New Roman" w:hAnsi="Times New Roman"/>
          <w:sz w:val="21"/>
          <w:szCs w:val="21"/>
        </w:rPr>
        <w:t xml:space="preserve"/>
      </w:r>
      <w:r>
        <w:rPr>
          <w:rFonts w:ascii="Times New Roman" w:cs="Times New Roman" w:eastAsia="Times New Roman" w:hAnsi="Times New Roman"/>
          <w:b/>
          <w:bCs/>
          <w:sz w:val="21"/>
          <w:szCs w:val="21"/>
        </w:rPr>
        <w:t xml:space="preserve">Pour la Société</w:t>
      </w:r>
      <w:r>
        <w:rPr>
          <w:rFonts w:ascii="Times New Roman" w:cs="Times New Roman" w:eastAsia="Times New Roman" w:hAnsi="Times New Roman"/>
          <w:sz w:val="21"/>
          <w:szCs w:val="21"/>
        </w:rPr>
        <w:t xml:space="preserve"/>
      </w:r>
    </w:p>
    <w:p>
      <w:pPr>
        <w:keepNext/>
        <w:spacing w:after="0" w:before="0" w:line="264"/>
        <w:jc w:val="left"/>
      </w:pPr>
      <w:r>
        <w:rPr>
          <w:rFonts w:ascii="Times New Roman" w:cs="Times New Roman" w:eastAsia="Times New Roman" w:hAnsi="Times New Roman"/>
          <w:sz w:val="21"/>
          <w:szCs w:val="21"/>
        </w:rPr>
        <w:t xml:space="preserve">Monsieur Laurent Delafosse-Rivière, Directeur des Ressources Humaines</w:t>
      </w:r>
    </w:p>
    <w:p>
      <w:pPr>
        <w:keepNext/>
        <w:spacing w:after="0" w:before="0" w:line="264"/>
        <w:jc w:val="left"/>
      </w:pPr>
      <w:r>
        <w:rPr>
          <w:rFonts w:ascii="Times New Roman" w:cs="Times New Roman" w:eastAsia="Times New Roman" w:hAnsi="Times New Roman"/>
          <w:i/>
          <w:iCs/>
          <w:sz w:val="21"/>
          <w:szCs w:val="21"/>
        </w:rPr>
        <w:t xml:space="preserve">Signature précédée de la mention manuscrite « Lu et approuvé » :</w:t>
      </w:r>
    </w:p>
    <w:p>
      <w:pPr>
        <w:keepNext/>
        <w:pBdr>
          <w:bottom w:val="single" w:color="000000" w:sz="6" w:space="1"/>
        </w:pBdr>
        <w:spacing w:after="60" w:before="700"/>
        <w:ind w:right="4200"/>
      </w:pPr>
    </w:p>
    <w:p>
      <w:pPr>
        <w:keepNext/>
        <w:spacing w:after="0" w:before="200" w:line="264"/>
        <w:jc w:val="left"/>
      </w:pPr>
      <w:r>
        <w:rPr>
          <w:rFonts w:ascii="Times New Roman" w:cs="Times New Roman" w:eastAsia="Times New Roman" w:hAnsi="Times New Roman"/>
          <w:sz w:val="21"/>
          <w:szCs w:val="21"/>
        </w:rPr>
        <w:t xml:space="preserve"/>
      </w:r>
      <w:r>
        <w:rPr>
          <w:rFonts w:ascii="Times New Roman" w:cs="Times New Roman" w:eastAsia="Times New Roman" w:hAnsi="Times New Roman"/>
          <w:b/>
          <w:bCs/>
          <w:sz w:val="21"/>
          <w:szCs w:val="21"/>
        </w:rPr>
        <w:t xml:space="preserve">Le Salarié</w:t>
      </w:r>
      <w:r>
        <w:rPr>
          <w:rFonts w:ascii="Times New Roman" w:cs="Times New Roman" w:eastAsia="Times New Roman" w:hAnsi="Times New Roman"/>
          <w:sz w:val="21"/>
          <w:szCs w:val="21"/>
        </w:rPr>
        <w:t xml:space="preserve"/>
      </w:r>
    </w:p>
    <w:p>
      <w:pPr>
        <w:keepNext/>
        <w:spacing w:after="0" w:before="0" w:line="264"/>
        <w:jc w:val="left"/>
      </w:pPr>
      <w:r>
        <w:rPr>
          <w:rFonts w:ascii="Times New Roman" w:cs="Times New Roman" w:eastAsia="Times New Roman" w:hAnsi="Times New Roman"/>
          <w:sz w:val="21"/>
          <w:szCs w:val="21"/>
        </w:rPr>
        <w:t xml:space="preserve">Monsieur Tiago Marques Ferreira</w:t>
      </w:r>
    </w:p>
    <w:p>
      <w:pPr>
        <w:keepNext/>
        <w:spacing w:after="0" w:before="0" w:line="264"/>
        <w:jc w:val="left"/>
      </w:pPr>
      <w:r>
        <w:rPr>
          <w:rFonts w:ascii="Times New Roman" w:cs="Times New Roman" w:eastAsia="Times New Roman" w:hAnsi="Times New Roman"/>
          <w:i/>
          <w:iCs/>
          <w:sz w:val="21"/>
          <w:szCs w:val="21"/>
        </w:rPr>
        <w:t xml:space="preserve">Signature précédée de la mention manuscrite « Lu et approuvé » :</w:t>
      </w:r>
    </w:p>
    <w:p>
      <w:pPr>
        <w:keepNext/>
        <w:pBdr>
          <w:bottom w:val="single" w:color="000000" w:sz="6" w:space="1"/>
        </w:pBdr>
        <w:spacing w:after="60" w:before="700"/>
        <w:ind w:right="4200"/>
      </w:pPr>
    </w:p>
    <w:sectPr>
      <w:headerReference w:type="default" r:id="rId7"/>
      <w:footerReference w:type="default" r:id="rId8"/>
      <w:pgSz w:w="11906" w:h="16838" w:orient="portrait"/>
      <w:pgMar w:top="1134"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7"/>
        <w:szCs w:val="17"/>
      </w:rPr>
      <w:t xml:space="preserve">Paraphes : ____ / ____        Page </w:t>
    </w:r>
    <w:r>
      <w:rPr>
        <w:rFonts w:ascii="Times New Roman" w:cs="Times New Roman" w:eastAsia="Times New Roman" w:hAnsi="Times New Roman"/>
        <w:sz w:val="17"/>
        <w:szCs w:val="17"/>
      </w:rPr>
      <w:fldChar w:fldCharType="begin"/>
      <w:instrText xml:space="preserve">PAGE</w:instrText>
      <w:fldChar w:fldCharType="separate"/>
      <w:fldChar w:fldCharType="end"/>
    </w:r>
    <w:r>
      <w:rPr>
        <w:rFonts w:ascii="Times New Roman" w:cs="Times New Roman" w:eastAsia="Times New Roman" w:hAnsi="Times New Roman"/>
        <w:sz w:val="17"/>
        <w:szCs w:val="17"/>
      </w:rPr>
      <w:t xml:space="preserve"> sur </w:t>
    </w:r>
    <w:r>
      <w:rPr>
        <w:rFonts w:ascii="Times New Roman" w:cs="Times New Roman" w:eastAsia="Times New Roman" w:hAnsi="Times New Roman"/>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55555"/>
        <w:sz w:val="17"/>
        <w:szCs w:val="17"/>
      </w:rPr>
      <w:t xml:space="preserve">Atlas Mutuelle Assurances – Contrat de travail CDD – Réf. ATL-CDD-2026-0318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90" w:before="220"/>
      <w:outlineLvl w:val="1"/>
    </w:pPr>
    <w:rPr>
      <w:rFonts w:ascii="Times New Roman" w:cs="Times New Roman" w:eastAsia="Times New Roman" w:hAnsi="Times New Roman"/>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 de travail – Monsieur Tiago Marques Ferreira</dc:title>
  <dc:creator>Atlas Mutuelle Assurances</dc:creator>
  <cp:lastModifiedBy>Un-named</cp:lastModifiedBy>
  <cp:revision>1</cp:revision>
  <dcterms:created xsi:type="dcterms:W3CDTF">2026-10-05T06:54:35.162Z</dcterms:created>
  <dcterms:modified xsi:type="dcterms:W3CDTF">2026-10-05T06:54:35.162Z</dcterms:modified>
</cp:coreProperties>
</file>

<file path=docProps/custom.xml><?xml version="1.0" encoding="utf-8"?>
<Properties xmlns="http://schemas.openxmlformats.org/officeDocument/2006/custom-properties" xmlns:vt="http://schemas.openxmlformats.org/officeDocument/2006/docPropsVTypes"/>
</file>