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Региональный</w:t>
      </w:r>
      <w:r>
        <w:t xml:space="preserve"> </w:t>
      </w:r>
      <w:r>
        <w:t xml:space="preserve">баланс</w:t>
      </w:r>
      <w:r>
        <w:t xml:space="preserve"> </w:t>
      </w:r>
      <w:r>
        <w:t xml:space="preserve">ресурсов</w:t>
      </w:r>
      <w:r>
        <w:t xml:space="preserve"> </w:t>
      </w:r>
      <w:r>
        <w:t xml:space="preserve">и</w:t>
      </w:r>
      <w:r>
        <w:t xml:space="preserve"> </w:t>
      </w:r>
      <w:r>
        <w:t xml:space="preserve">нагрузки</w:t>
      </w:r>
      <w:r>
        <w:t xml:space="preserve"> </w:t>
      </w:r>
      <w:r>
        <w:t xml:space="preserve">системы</w:t>
      </w:r>
      <w:r>
        <w:t xml:space="preserve"> </w:t>
      </w:r>
      <w:r>
        <w:t xml:space="preserve">здравоохранения</w:t>
      </w:r>
      <w:r>
        <w:t xml:space="preserve"> </w:t>
      </w:r>
      <w:r>
        <w:t xml:space="preserve">Казахстана</w:t>
      </w:r>
    </w:p>
    <w:bookmarkStart w:id="51" w:name="Xd9f720a769e8e1af84f12836127f96392da62be"/>
    <w:p>
      <w:pPr>
        <w:pStyle w:val="Heading1"/>
      </w:pPr>
      <w:r>
        <w:t xml:space="preserve">Региональный баланс ресурсов и зарегистрированной нагрузки системы здравоохранения Казахстана: экологическое панельное исследование за 2022–2025 годы и сценарная проекция до 2028 года</w:t>
      </w:r>
    </w:p>
    <w:p>
      <w:pPr>
        <w:pStyle w:val="FirstParagraph"/>
      </w:pPr>
      <w:r>
        <w:rPr>
          <w:bCs/>
          <w:b/>
        </w:rPr>
        <w:t xml:space="preserve">Авторы:</w:t>
      </w:r>
      <w:r>
        <w:t xml:space="preserve"> </w:t>
      </w:r>
      <w:r>
        <w:t xml:space="preserve">[внести фамилии и инициалы авторов]</w:t>
      </w:r>
    </w:p>
    <w:p>
      <w:pPr>
        <w:pStyle w:val="BodyText"/>
      </w:pPr>
      <w:r>
        <w:rPr>
          <w:bCs/>
          <w:b/>
        </w:rPr>
        <w:t xml:space="preserve">Организации:</w:t>
      </w:r>
      <w:r>
        <w:t xml:space="preserve"> </w:t>
      </w:r>
      <w:r>
        <w:t xml:space="preserve">[внести официальные наименования организаций]</w:t>
      </w:r>
    </w:p>
    <w:p>
      <w:pPr>
        <w:pStyle w:val="BodyText"/>
      </w:pPr>
      <w:r>
        <w:rPr>
          <w:bCs/>
          <w:b/>
        </w:rPr>
        <w:t xml:space="preserve">Автор для корреспонденции:</w:t>
      </w:r>
      <w:r>
        <w:t xml:space="preserve"> </w:t>
      </w:r>
      <w:r>
        <w:t xml:space="preserve">[Ф.И.О., электронная почта, почтовый адрес]</w:t>
      </w:r>
    </w:p>
    <w:bookmarkStart w:id="20" w:name="аннотация"/>
    <w:p>
      <w:pPr>
        <w:pStyle w:val="Heading2"/>
      </w:pPr>
      <w:r>
        <w:t xml:space="preserve">Аннотация</w:t>
      </w:r>
    </w:p>
    <w:p>
      <w:pPr>
        <w:pStyle w:val="FirstParagraph"/>
      </w:pPr>
      <w:r>
        <w:rPr>
          <w:bCs/>
          <w:b/>
        </w:rPr>
        <w:t xml:space="preserve">Введение.</w:t>
      </w:r>
      <w:r>
        <w:t xml:space="preserve"> </w:t>
      </w:r>
      <w:r>
        <w:t xml:space="preserve">Региональные системы здравоохранения могут различаться не только по объему кадровых и инфраструктурных ресурсов, но и по интенсивности зарегистрированного использования медицинской помощи. Изолированный анализ обеспеченности врачами, средним медицинским персоналом или койками не позволяет оценить, насколько ресурсный профиль территории соответствует наблюдаемой амбулаторной, экстренной и стационарной нагрузке.</w:t>
      </w:r>
    </w:p>
    <w:p>
      <w:pPr>
        <w:pStyle w:val="BodyText"/>
      </w:pPr>
      <w:r>
        <w:rPr>
          <w:bCs/>
          <w:b/>
        </w:rPr>
        <w:t xml:space="preserve">Цель.</w:t>
      </w:r>
      <w:r>
        <w:t xml:space="preserve"> </w:t>
      </w:r>
      <w:r>
        <w:t xml:space="preserve">Охарактеризовать национальную динамику и межрегиональную вариабельность ресурсов здравоохранения и зарегистрированного использования медицинской помощи в Казахстане, оценить их относительное соответствие и построить исследовательскую сценарную проекцию регионального положения до 2028 года.</w:t>
      </w:r>
    </w:p>
    <w:p>
      <w:pPr>
        <w:pStyle w:val="BodyText"/>
      </w:pPr>
      <w:r>
        <w:rPr>
          <w:bCs/>
          <w:b/>
        </w:rPr>
        <w:t xml:space="preserve">Материалы и методы.</w:t>
      </w:r>
      <w:r>
        <w:t xml:space="preserve"> </w:t>
      </w:r>
      <w:r>
        <w:t xml:space="preserve">Проведено ретроспективное экологическое исследование агрегированных официальных статистических данных по 20 административным единицам Казахстана за 2022–2025 годы. Национальные показатели анализировались как официальные агрегированные значения. Межрегиональная вариабельность описывалась медианой, межквартильным размахом, коэффициентом вариации и коэффициентом Джини. Для исследовательской оценки был рассчитан стандартизированный индекс относительного соответствия ресурсов и зарегистрированной нагрузки как разность между композитным индексом ресурсной мощности и индексом использования услуг и нагрузки. Связи между ресурсными показателями и использованием услуг оценивали в панельных линейных моделях с фиксированными эффектами регионов и календарных лет и кластеризацией стандартных ошибок по регионам. Сценарная проекция на 2026–2028 годы отражала продолжение линейных региональных тенденций 2022–2025 годов и не рассматривалась как детерминированный прогноз.</w:t>
      </w:r>
    </w:p>
    <w:p>
      <w:pPr>
        <w:pStyle w:val="BodyText"/>
      </w:pPr>
      <w:r>
        <w:rPr>
          <w:bCs/>
          <w:b/>
        </w:rPr>
        <w:t xml:space="preserve">Результаты.</w:t>
      </w:r>
      <w:r>
        <w:t xml:space="preserve"> </w:t>
      </w:r>
      <w:r>
        <w:t xml:space="preserve">В 2022–2025 годах число врачей увеличилось с 79 409 до 83 994 человек, обеспеченность врачами — с 40,2 до 41,0 на 10 000 населения. Одновременно обеспеченность средним медицинским персоналом снизилась с 96,8 до 91,9, а койками — с 54,2 до 51,6 на 10 000 населения. Число обслуженных скорой медицинской помощью увеличилось с 363,2 до 406,3 на 1000 населения, госпитализации в государственных больничных организациях — с 15,1 до 15,7 на 100 жителей, занятость койки — с 267 до 300 дней в год. В 2025 году наиболее низкие значения относительного индекса соответствия ресурсов и нагрузки наблюдались в Туркестанской (−1,365) и Атырауской (−1,114) областях. В исследовательских панельных моделях обеспеченность койками была обратно связана с занятостью койки, а плановая мощность амбулаторно-поликлинических организаций — положительно связана с госпитализациями; причинная интерпретация этих связей невозможна. Сценарная проекция указывала на сохранение отрицательного относительного положения Туркестанской и Атырауской областей и возможное смещение Мангистауской области ниже условной границы −1 стандартного отклонения к 2028 году.</w:t>
      </w:r>
    </w:p>
    <w:p>
      <w:pPr>
        <w:pStyle w:val="BodyText"/>
      </w:pPr>
      <w:r>
        <w:rPr>
          <w:bCs/>
          <w:b/>
        </w:rPr>
        <w:t xml:space="preserve">Заключение.</w:t>
      </w:r>
      <w:r>
        <w:t xml:space="preserve"> </w:t>
      </w:r>
      <w:r>
        <w:t xml:space="preserve">В Казахстане умеренный рост обеспеченности врачами в 2022–2025 годах сопровождался снижением обеспеченности средним медицинским персоналом и койками и увеличением зарегистрированного использования экстренной и стационарной помощи. Предложенный индекс следует использовать только как исследовательский инструмент территориального мониторинга, а не как нормативную оценку дефицита или рейтинг регионов. Полученные результаты обосновывают необходимость регионально дифференцированного планирования с учетом структуры населения, бремени заболеваний, территориальной доступности и деятельности частного сектора.</w:t>
      </w:r>
    </w:p>
    <w:p>
      <w:pPr>
        <w:pStyle w:val="BodyText"/>
      </w:pPr>
      <w:r>
        <w:rPr>
          <w:bCs/>
          <w:b/>
        </w:rPr>
        <w:t xml:space="preserve">Ключевые слова:</w:t>
      </w:r>
      <w:r>
        <w:t xml:space="preserve"> </w:t>
      </w:r>
      <w:r>
        <w:t xml:space="preserve">ресурсы здравоохранения; медицинские кадры; использование медицинской помощи; региональное неравенство; экологическое исследование; панельные данные; Казахстан; сценарная проекция.</w:t>
      </w:r>
    </w:p>
    <w:bookmarkEnd w:id="20"/>
    <w:bookmarkStart w:id="22" w:name="X69fa80249844badacd10030ffa2aded78d62d77"/>
    <w:p>
      <w:pPr>
        <w:pStyle w:val="Heading2"/>
      </w:pPr>
      <w:r>
        <w:t xml:space="preserve">Regional balance between healthcare resources and recorded service load in Kazakhstan: an ecological panel study, 2022–2025, with scenario projections to 2028</w:t>
      </w:r>
    </w:p>
    <w:bookmarkStart w:id="21" w:name="abstract"/>
    <w:p>
      <w:pPr>
        <w:pStyle w:val="Heading3"/>
      </w:pPr>
      <w:r>
        <w:t xml:space="preserve">Abstract</w:t>
      </w:r>
    </w:p>
    <w:p>
      <w:pPr>
        <w:pStyle w:val="FirstParagraph"/>
      </w:pPr>
      <w:r>
        <w:rPr>
          <w:bCs/>
          <w:b/>
        </w:rPr>
        <w:t xml:space="preserve">Background.</w:t>
      </w:r>
      <w:r>
        <w:t xml:space="preserve"> </w:t>
      </w:r>
      <w:r>
        <w:t xml:space="preserve">Regional health systems differ not only in workforce and infrastructure capacity but also in the intensity of recorded healthcare utilization. Isolated indicators of physician, nursing, or bed density do not show whether the resource profile of a territory corresponds to its observed outpatient, emergency, and inpatient load.</w:t>
      </w:r>
    </w:p>
    <w:p>
      <w:pPr>
        <w:pStyle w:val="BodyText"/>
      </w:pPr>
      <w:r>
        <w:rPr>
          <w:bCs/>
          <w:b/>
        </w:rPr>
        <w:t xml:space="preserve">Objective.</w:t>
      </w:r>
      <w:r>
        <w:t xml:space="preserve"> </w:t>
      </w:r>
      <w:r>
        <w:t xml:space="preserve">To describe national trends and interregional variation in healthcare resources and recorded service utilization in Kazakhstan, assess their relative alignment, and construct an exploratory scenario projection of regional positions to 2028.</w:t>
      </w:r>
    </w:p>
    <w:p>
      <w:pPr>
        <w:pStyle w:val="BodyText"/>
      </w:pPr>
      <w:r>
        <w:rPr>
          <w:bCs/>
          <w:b/>
        </w:rPr>
        <w:t xml:space="preserve">Methods.</w:t>
      </w:r>
      <w:r>
        <w:t xml:space="preserve"> </w:t>
      </w:r>
      <w:r>
        <w:t xml:space="preserve">We conducted a retrospective ecological study using aggregated official statistics for 20 administrative units of Kazakhstan from 2022 to 2025. National indicators were analyzed as official aggregate values. Interregional variation was summarized using the median, interquartile range, coefficient of variation, and Gini coefficient. An exploratory standardized resource–utilization alignment index was calculated as the difference between a composite resource-capacity index and a service-utilization and load index. Associations between resource indicators and service utilization were examined using linear panel models with region and calendar-year fixed effects and region-clustered standard errors. Projections for 2026–2028 represented continuation of the linear regional trends observed in 2022–2025 and were not interpreted as deterministic forecasts.</w:t>
      </w:r>
    </w:p>
    <w:p>
      <w:pPr>
        <w:pStyle w:val="BodyText"/>
      </w:pPr>
      <w:r>
        <w:rPr>
          <w:bCs/>
          <w:b/>
        </w:rPr>
        <w:t xml:space="preserve">Results.</w:t>
      </w:r>
      <w:r>
        <w:t xml:space="preserve"> </w:t>
      </w:r>
      <w:r>
        <w:t xml:space="preserve">Between 2022 and 2025, the number of physicians increased from 79,409 to 83,994, and physician density rose from 40.2 to 41.0 per 10,000 population. In contrast, the density of mid-level medical personnel declined from 96.8 to 91.9 and bed density from 54.2 to 51.6 per 10,000. Emergency medical service utilization increased from 363.2 to 406.3 per 1,000 population, admissions to public hospitals from 15.1 to 15.7 per 100 population, and annual bed occupancy from 267 to 300 days. In 2025, the lowest relative resource–utilization alignment scores were observed in Turkistan (−1.365) and Atyrau (−1.114) regions. In exploratory panel models, bed density was inversely associated with annual bed occupancy, while planned outpatient capacity was positively associated with public-hospital admissions; these associations cannot be interpreted causally. Scenario projections suggested that Turkistan and Atyrau would remain in a relatively negative position and that Mangystau could move below the −1-standard-deviation threshold by 2028.</w:t>
      </w:r>
    </w:p>
    <w:p>
      <w:pPr>
        <w:pStyle w:val="BodyText"/>
      </w:pPr>
      <w:r>
        <w:rPr>
          <w:bCs/>
          <w:b/>
        </w:rPr>
        <w:t xml:space="preserve">Conclusions.</w:t>
      </w:r>
      <w:r>
        <w:t xml:space="preserve"> </w:t>
      </w:r>
      <w:r>
        <w:t xml:space="preserve">Moderate growth in physician density in Kazakhstan during 2022–2025 coincided with declining densities of mid-level medical personnel and beds and increasing recorded emergency and inpatient utilization. The proposed index should be used only as an exploratory territorial-monitoring tool, not as a normative deficit measure or regional ranking. Regional planning should additionally consider population structure, disease burden, geographic access, and private-sector activity.</w:t>
      </w:r>
    </w:p>
    <w:p>
      <w:pPr>
        <w:pStyle w:val="BodyText"/>
      </w:pPr>
      <w:r>
        <w:rPr>
          <w:bCs/>
          <w:b/>
        </w:rPr>
        <w:t xml:space="preserve">Keywords:</w:t>
      </w:r>
      <w:r>
        <w:t xml:space="preserve"> </w:t>
      </w:r>
      <w:r>
        <w:t xml:space="preserve">health resources; health workforce; healthcare utilization; regional inequality; ecological study; panel data; Kazakhstan; scenario projection.</w:t>
      </w:r>
    </w:p>
    <w:bookmarkEnd w:id="21"/>
    <w:bookmarkEnd w:id="22"/>
    <w:bookmarkStart w:id="23" w:name="введение"/>
    <w:p>
      <w:pPr>
        <w:pStyle w:val="Heading2"/>
      </w:pPr>
      <w:r>
        <w:t xml:space="preserve">Введение</w:t>
      </w:r>
    </w:p>
    <w:p>
      <w:pPr>
        <w:pStyle w:val="FirstParagraph"/>
      </w:pPr>
      <w:r>
        <w:t xml:space="preserve">Рациональное распределение ресурсов здравоохранения является одной из ключевых задач для стран с большой территорией, неоднородной плотностью населения и выраженными различиями в доступности медицинской помощи. Для регионального планирования важен не только абсолютный объем кадров, коечного фонда и амбулаторной инфраструктуры, но и их соответствие зарегистрированному использованию медицинских услуг. Высокая обеспеченность койками, например, не характеризует эффективность системы без учета занятости койки, госпитализаций и средней длительности пребывания. Аналогично увеличение числа амбулаторно-поликлинических организаций не обязательно означает усиление первичной помощи, если одновременно растет использование скорой и стационарной помощи.</w:t>
      </w:r>
    </w:p>
    <w:p>
      <w:pPr>
        <w:pStyle w:val="BodyText"/>
      </w:pPr>
      <w:r>
        <w:t xml:space="preserve">Международные подходы к оценке систем здравоохранения рассматривают кадровые ресурсы, инфраструктуру, доступность и использование медицинской помощи как взаимосвязанные элементы. Композитные показатели позволяют объединить разнотипные индикаторы в сопоставимую шкалу, однако требуют осторожной интерпретации: результат зависит от выбора переменных, способа стандартизации и весов, а относительное положение территории не тождественно нормативному дефициту ресурсов.</w:t>
      </w:r>
    </w:p>
    <w:p>
      <w:pPr>
        <w:pStyle w:val="BodyText"/>
      </w:pPr>
      <w:r>
        <w:t xml:space="preserve">Для Казахстана региональная оценка особенно актуальна вследствие различий в структуре расселения, расстояниях, концентрации специализированной помощи и роли частного сектора. Выделение областей Абай, Жетісу и Ұлытау в 2022 году также ограничивает сопоставимость более ранних территориальных рядов. Поэтому основной анализ целесообразно проводить в административной структуре, устойчивой в 2022–2025 годах.</w:t>
      </w:r>
    </w:p>
    <w:p>
      <w:pPr>
        <w:pStyle w:val="BodyText"/>
      </w:pPr>
      <w:r>
        <w:t xml:space="preserve">Официальные статистические сборники Министерства здравоохранения Республики Казахстан содержат данные о медицинских кадрах, амбулаторной и стационарной инфраструктуре, скорой медицинской помощи и использовании коечного фонда. Эти данные не позволяют оценивать индивидуальные риски, качество клинических решений или неудовлетворенную потребность населения, но подходят для выявления структурных региональных различий и территорий с относительно высокой зарегистрированной нагрузкой при ограниченной измеренной ресурсной мощности.</w:t>
      </w:r>
    </w:p>
    <w:p>
      <w:pPr>
        <w:pStyle w:val="BodyText"/>
      </w:pPr>
      <w:r>
        <w:rPr>
          <w:bCs/>
          <w:b/>
        </w:rPr>
        <w:t xml:space="preserve">Цель исследования</w:t>
      </w:r>
      <w:r>
        <w:t xml:space="preserve"> </w:t>
      </w:r>
      <w:r>
        <w:t xml:space="preserve">— охарактеризовать национальную динамику и межрегиональную вариабельность ресурсов здравоохранения и зарегистрированного использования медицинской помощи в Казахстане в 2022–2025 годах, оценить их относительное соответствие и построить исследовательскую сценарную проекцию регионального положения до 2028 года.</w:t>
      </w:r>
    </w:p>
    <w:bookmarkEnd w:id="23"/>
    <w:bookmarkStart w:id="33" w:name="материалы-и-методы"/>
    <w:p>
      <w:pPr>
        <w:pStyle w:val="Heading2"/>
      </w:pPr>
      <w:r>
        <w:t xml:space="preserve">Материалы и методы</w:t>
      </w:r>
    </w:p>
    <w:bookmarkStart w:id="24" w:name="дизайн-исследования"/>
    <w:p>
      <w:pPr>
        <w:pStyle w:val="Heading3"/>
      </w:pPr>
      <w:r>
        <w:t xml:space="preserve">Дизайн исследования</w:t>
      </w:r>
    </w:p>
    <w:p>
      <w:pPr>
        <w:pStyle w:val="FirstParagraph"/>
      </w:pPr>
      <w:r>
        <w:t xml:space="preserve">Проведено ретроспективное экологическое исследование агрегированных официальных статистических данных. Единицами регионального анализа были административная единица и календарный год. В основную панель включены 20 территорий: 17 областей и города республиканского значения Астана, Алматы и Шымкент. Период 2022–2025 годов выбран для сохранения сопоставимой административно-территориальной структуры. Рукопись подготовлена с учетом принципов STROBE для наблюдательных исследований.</w:t>
      </w:r>
    </w:p>
    <w:bookmarkEnd w:id="24"/>
    <w:bookmarkStart w:id="25" w:name="источники-данных"/>
    <w:p>
      <w:pPr>
        <w:pStyle w:val="Heading3"/>
      </w:pPr>
      <w:r>
        <w:t xml:space="preserve">Источники данных</w:t>
      </w:r>
    </w:p>
    <w:p>
      <w:pPr>
        <w:pStyle w:val="FirstParagraph"/>
      </w:pPr>
      <w:r>
        <w:t xml:space="preserve">Источниками служили официальные статистические сборники Министерства здравоохранения Республики Казахстан «Здоровье населения Республики Казахстан и деятельность организаций здравоохранения» и соответствующие региональные таблицы за 2022–2025 годы. Из них извлекали данные о численности населения, медицинских кадрах, коечном фонде, амбулаторно-поликлинической сети, скорой медицинской помощи, госпитализациях и использовании стационарной инфраструктуры.</w:t>
      </w:r>
    </w:p>
    <w:p>
      <w:pPr>
        <w:pStyle w:val="BodyText"/>
      </w:pPr>
      <w:r>
        <w:t xml:space="preserve">Национальные показатели в таблице 1 являются официальными агрегированными значениями по стране. Межрегиональные показатели представляют распределение 20 региональных значений и поэтому не должны напрямую сопоставляться с невзвешенным средним регионов. Это различие было сохранено во всех разделах рукописи.</w:t>
      </w:r>
    </w:p>
    <w:bookmarkEnd w:id="25"/>
    <w:bookmarkStart w:id="26" w:name="показатели-исследования"/>
    <w:p>
      <w:pPr>
        <w:pStyle w:val="Heading3"/>
      </w:pPr>
      <w:r>
        <w:t xml:space="preserve">Показатели исследования</w:t>
      </w:r>
    </w:p>
    <w:p>
      <w:pPr>
        <w:pStyle w:val="FirstParagraph"/>
      </w:pPr>
      <w:r>
        <w:t xml:space="preserve">К ресурсным показателям относились численность и обеспеченность врачами всех специальностей, обеспеченность средним медицинским персоналом, число и обеспеченность больничными койками, активные койки системы Министерства здравоохранения, число амбулаторно-поликлинических организаций, доля частных организаций и плановая мощность амбулаторно-поликлинических организаций.</w:t>
      </w:r>
    </w:p>
    <w:p>
      <w:pPr>
        <w:pStyle w:val="BodyText"/>
      </w:pPr>
      <w:r>
        <w:t xml:space="preserve">Зарегистрированное использование услуг и операционная нагрузка оценивались по числу посещений врачей на одного жителя, госпитализаций в государственных больничных организациях на 100 жителей, числу лиц, обслуженных скорой медицинской помощью при выездах, на 1000 населения, среднему числу дней занятости койки, обороту койки и средней длительности пребывания.</w:t>
      </w:r>
    </w:p>
    <w:p>
      <w:pPr>
        <w:pStyle w:val="BodyText"/>
      </w:pPr>
      <w:r>
        <w:t xml:space="preserve">Термин «зарегистрированное использование услуг» использовался вместо «спроса», поскольку административные показатели не измеряют неудовлетворенную потребность, барьеры доступа и фактическую клиническую потребность населения.</w:t>
      </w:r>
    </w:p>
    <w:bookmarkEnd w:id="26"/>
    <w:bookmarkStart w:id="27" w:name="Xb120c05d74f7e7a2f43217f2a07ba02a96d27f6"/>
    <w:p>
      <w:pPr>
        <w:pStyle w:val="Heading3"/>
      </w:pPr>
      <w:r>
        <w:t xml:space="preserve">Национальная динамика и межрегиональная вариабельность</w:t>
      </w:r>
    </w:p>
    <w:p>
      <w:pPr>
        <w:pStyle w:val="FirstParagraph"/>
      </w:pPr>
      <w:r>
        <w:t xml:space="preserve">Для национальных показателей рассчитывали абсолютное и относительное изменение между 2022 и 2025 годами. Межрегиональное распределение описывали медианой и межквартильным размахом, коэффициентом вариации и коэффициентом Джини. Региональные показатели не взвешивали по численности населения, поскольку целью этого блока было сравнение административных систем, а не получение популяционно-взвешенного национального среднего.</w:t>
      </w:r>
    </w:p>
    <w:bookmarkEnd w:id="27"/>
    <w:bookmarkStart w:id="28" w:name="X59e9aa9167fa7c5aca39f533507f7d585a558d3"/>
    <w:p>
      <w:pPr>
        <w:pStyle w:val="Heading3"/>
      </w:pPr>
      <w:r>
        <w:t xml:space="preserve">Исследовательский индекс относительного соответствия ресурсов и нагрузки</w:t>
      </w:r>
    </w:p>
    <w:p>
      <w:pPr>
        <w:pStyle w:val="FirstParagraph"/>
      </w:pPr>
      <w:r>
        <w:t xml:space="preserve">Для многомерного сопоставления регионов использовали два композитных индекса. Resource Capacity Index объединял стандартизированные показатели обеспеченности врачами, средним медицинским персоналом, койками, активными койками системы Министерства здравоохранения и плановой мощности амбулаторно-поликлинических организаций. Service Utilization and Load Index объединял стандартизированные показатели посещений врачей, госпитализаций, скорой медицинской помощи, занятости и оборота койки. Компоненты стандартизировали в пределах соответствующего календарного года и объединяли с равным весом.</w:t>
      </w:r>
    </w:p>
    <w:p>
      <w:pPr>
        <w:pStyle w:val="BodyText"/>
      </w:pPr>
      <w:r>
        <w:t xml:space="preserve">Resource–Utilization Alignment Score рассчитывали как разность Resource Capacity Index и Service Utilization and Load Index, после чего повторно стандартизировали по межрегиональному распределению соответствующего года. Значения ниже −1 стандартного отклонения обозначали относительно низкое соответствие ресурсов зарегистрированной нагрузке, значения от −1 до +1 — промежуточный диапазон, значения выше +1 — относительно высокое соответствие. Эти пороги являются исследовательским правилом и не представляют нормативно утвержденные границы дефицита, достаточности или избытка ресурсов. Положительное значение не означает избыточность ресурсов, а отрицательное — доказанный абсолютный дефицит.</w:t>
      </w:r>
    </w:p>
    <w:bookmarkEnd w:id="28"/>
    <w:bookmarkStart w:id="29" w:name="панельный-регрессионный-анализ"/>
    <w:p>
      <w:pPr>
        <w:pStyle w:val="Heading3"/>
      </w:pPr>
      <w:r>
        <w:t xml:space="preserve">Панельный регрессионный анализ</w:t>
      </w:r>
    </w:p>
    <w:p>
      <w:pPr>
        <w:pStyle w:val="FirstParagraph"/>
      </w:pPr>
      <w:r>
        <w:t xml:space="preserve">Исследовательские связи между ресурсной обеспеченностью и использованием услуг оценивали в линейных панельных моделях с фиксированными эффектами регионов и календарных лет. Зависимыми переменными были госпитализации в государственных больничных организациях, обслуживание скорой медицинской помощью, занятость койки и средняя длительность пребывания. Независимыми переменными были обеспеченность врачами, средним медицинским персоналом, койками и плановая мощность амбулаторно-поликлинических организаций.</w:t>
      </w:r>
    </w:p>
    <w:p>
      <w:pPr>
        <w:pStyle w:val="BodyText"/>
      </w:pPr>
      <w:r>
        <w:t xml:space="preserve">Стандартные ошибки кластеризовали по регионам. Анализ включал 80 наблюдений и 20 региональных кластеров. В связи с короткой панелью, небольшим числом кластеров, возможной обратной причинностью и отсутствием данных о возрастной структуре, бремени болезней и территориальной доступности модели рассматривались как исследовательские. Интерпретация основывалась преимущественно на направлении, величине и 95% доверительных интервалах коэффициентов, а не на формальном ранжировании результатов по p-значениям.</w:t>
      </w:r>
    </w:p>
    <w:bookmarkEnd w:id="29"/>
    <w:bookmarkStart w:id="30" w:name="сценарная-проекция"/>
    <w:p>
      <w:pPr>
        <w:pStyle w:val="Heading3"/>
      </w:pPr>
      <w:r>
        <w:t xml:space="preserve">Сценарная проекция</w:t>
      </w:r>
    </w:p>
    <w:p>
      <w:pPr>
        <w:pStyle w:val="FirstParagraph"/>
      </w:pPr>
      <w:r>
        <w:t xml:space="preserve">Сценарные значения на 2026–2028 годы были построены при допущении продолжения линейных региональных тенденций, наблюдавшихся в 2022–2025 годах. Для каждого прогнозного года повторно рассчитывали ресурсный индекс, индекс использования услуг и относительный показатель соответствия. Поскольку стандартизация выполнялась внутри прогнозируемого межрегионального распределения каждого года, изменения показателя отражают изменение относительного положения региона среди других территорий, а не абсолютное увеличение или сокращение дефицита.</w:t>
      </w:r>
    </w:p>
    <w:p>
      <w:pPr>
        <w:pStyle w:val="BodyText"/>
      </w:pPr>
      <w:r>
        <w:t xml:space="preserve">Короткий фактический ряд не позволяет проводить надежную долгосрочную экстраполяцию. Поэтому проекция использовалась только как базовый исследовательский сценарий для выявления территорий, требующих дополнительной проверки на более детальных данных.</w:t>
      </w:r>
    </w:p>
    <w:bookmarkEnd w:id="30"/>
    <w:bookmarkStart w:id="31" w:name="статистическое-программное-обеспечение"/>
    <w:p>
      <w:pPr>
        <w:pStyle w:val="Heading3"/>
      </w:pPr>
      <w:r>
        <w:t xml:space="preserve">Статистическое программное обеспечение</w:t>
      </w:r>
    </w:p>
    <w:p>
      <w:pPr>
        <w:pStyle w:val="FirstParagraph"/>
      </w:pPr>
      <w:r>
        <w:t xml:space="preserve">Обработка данных и статистический анализ выполнялись в Python 3 с использованием библиотек pandas, NumPy и statsmodels. Двустороннее значение p&lt;0,05 использовалось как ориентир статистической совместимости с нулевой гипотезой, однако выводы не основывались исключительно на пороговой классификации p-значений.</w:t>
      </w:r>
    </w:p>
    <w:bookmarkEnd w:id="31"/>
    <w:bookmarkStart w:id="32" w:name="этические-аспекты"/>
    <w:p>
      <w:pPr>
        <w:pStyle w:val="Heading3"/>
      </w:pPr>
      <w:r>
        <w:t xml:space="preserve">Этические аспекты</w:t>
      </w:r>
    </w:p>
    <w:p>
      <w:pPr>
        <w:pStyle w:val="FirstParagraph"/>
      </w:pPr>
      <w:r>
        <w:t xml:space="preserve">Исследование основано исключительно на общедоступных агрегированных статистических данных и не включало индивидуальные медицинские сведения или персональные данные. Получение информированного согласия и одобрение локальной комиссии по биоэтике не требовались.</w:t>
      </w:r>
    </w:p>
    <w:bookmarkEnd w:id="32"/>
    <w:bookmarkEnd w:id="33"/>
    <w:bookmarkStart w:id="39" w:name="результаты"/>
    <w:p>
      <w:pPr>
        <w:pStyle w:val="Heading2"/>
      </w:pPr>
      <w:r>
        <w:t xml:space="preserve">Результаты</w:t>
      </w:r>
    </w:p>
    <w:bookmarkStart w:id="34" w:name="Xa50cdc23131dc14a269fb33cfce5dd2a222f11b"/>
    <w:p>
      <w:pPr>
        <w:pStyle w:val="Heading3"/>
      </w:pPr>
      <w:r>
        <w:t xml:space="preserve">Национальная динамика ресурсов и зарегистрированной нагрузки</w:t>
      </w:r>
    </w:p>
    <w:p>
      <w:pPr>
        <w:pStyle w:val="FirstParagraph"/>
      </w:pPr>
      <w:r>
        <w:t xml:space="preserve">В 2022–2025 годах число врачей всех специальностей увеличилось с 79 409 до 83 994 человек, а обеспеченность врачами — с 40,2 до 41,0 на 10 000 населения. Обеспеченность средним медицинским персоналом снизилась с 96,8 до 91,9 на 10 000 населения. Коечный фонд сократился с 107 214 до 105 789 коек, обеспеченность койками — с 54,2 до 51,6, а активными койками системы Министерства здравоохранения — с 37,5 до 36,9 на 10 000 населения.</w:t>
      </w:r>
    </w:p>
    <w:p>
      <w:pPr>
        <w:pStyle w:val="BodyText"/>
      </w:pPr>
      <w:r>
        <w:t xml:space="preserve">Число амбулаторно-поликлинических организаций увеличилось на 8,3%, а доля частных организаций — с 37,5% до 43,0%. При этом плановая амбулаторная мощность снизилась с 103,1 до 101,9 посещения в смену на 10 000 населения. Число обслуженных скорой медицинской помощью выросло на 11,9%, госпитализации в государственных больничных организациях — на 4,0%, занятость койки — на 12,4%, оборот койки — на 7,1%. Средняя длительность пребывания оставалась на уровне 7,4 дня.</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Показатель</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Изменение 2022–2025, %</w:t>
            </w:r>
          </w:p>
        </w:tc>
      </w:tr>
      <w:tr>
        <w:tc>
          <w:tcPr/>
          <w:p>
            <w:pPr>
              <w:pStyle w:val="Compact"/>
              <w:jc w:val="left"/>
            </w:pPr>
            <w:r>
              <w:t xml:space="preserve">Врачи всех специальностей, человек</w:t>
            </w:r>
          </w:p>
        </w:tc>
        <w:tc>
          <w:tcPr/>
          <w:p>
            <w:pPr>
              <w:pStyle w:val="Compact"/>
              <w:jc w:val="left"/>
            </w:pPr>
            <w:r>
              <w:t xml:space="preserve">79 409</w:t>
            </w:r>
          </w:p>
        </w:tc>
        <w:tc>
          <w:tcPr/>
          <w:p>
            <w:pPr>
              <w:pStyle w:val="Compact"/>
              <w:jc w:val="left"/>
            </w:pPr>
            <w:r>
              <w:t xml:space="preserve">81 285</w:t>
            </w:r>
          </w:p>
        </w:tc>
        <w:tc>
          <w:tcPr/>
          <w:p>
            <w:pPr>
              <w:pStyle w:val="Compact"/>
              <w:jc w:val="left"/>
            </w:pPr>
            <w:r>
              <w:t xml:space="preserve">83 379</w:t>
            </w:r>
          </w:p>
        </w:tc>
        <w:tc>
          <w:tcPr/>
          <w:p>
            <w:pPr>
              <w:pStyle w:val="Compact"/>
              <w:jc w:val="left"/>
            </w:pPr>
            <w:r>
              <w:t xml:space="preserve">83 994</w:t>
            </w:r>
          </w:p>
        </w:tc>
        <w:tc>
          <w:tcPr/>
          <w:p>
            <w:pPr>
              <w:pStyle w:val="Compact"/>
              <w:jc w:val="left"/>
            </w:pPr>
            <w:r>
              <w:t xml:space="preserve">+5,8</w:t>
            </w:r>
          </w:p>
        </w:tc>
      </w:tr>
      <w:tr>
        <w:tc>
          <w:tcPr/>
          <w:p>
            <w:pPr>
              <w:pStyle w:val="Compact"/>
              <w:jc w:val="left"/>
            </w:pPr>
            <w:r>
              <w:t xml:space="preserve">Обеспеченность врачами на 10 000 населения</w:t>
            </w:r>
          </w:p>
        </w:tc>
        <w:tc>
          <w:tcPr/>
          <w:p>
            <w:pPr>
              <w:pStyle w:val="Compact"/>
              <w:jc w:val="left"/>
            </w:pPr>
            <w:r>
              <w:t xml:space="preserve">40,2</w:t>
            </w:r>
          </w:p>
        </w:tc>
        <w:tc>
          <w:tcPr/>
          <w:p>
            <w:pPr>
              <w:pStyle w:val="Compact"/>
              <w:jc w:val="left"/>
            </w:pPr>
            <w:r>
              <w:t xml:space="preserve">40,6</w:t>
            </w:r>
          </w:p>
        </w:tc>
        <w:tc>
          <w:tcPr/>
          <w:p>
            <w:pPr>
              <w:pStyle w:val="Compact"/>
              <w:jc w:val="left"/>
            </w:pPr>
            <w:r>
              <w:t xml:space="preserve">41,1</w:t>
            </w:r>
          </w:p>
        </w:tc>
        <w:tc>
          <w:tcPr/>
          <w:p>
            <w:pPr>
              <w:pStyle w:val="Compact"/>
              <w:jc w:val="left"/>
            </w:pPr>
            <w:r>
              <w:t xml:space="preserve">41,0</w:t>
            </w:r>
          </w:p>
        </w:tc>
        <w:tc>
          <w:tcPr/>
          <w:p>
            <w:pPr>
              <w:pStyle w:val="Compact"/>
              <w:jc w:val="left"/>
            </w:pPr>
            <w:r>
              <w:t xml:space="preserve">+2,0</w:t>
            </w:r>
          </w:p>
        </w:tc>
      </w:tr>
      <w:tr>
        <w:tc>
          <w:tcPr/>
          <w:p>
            <w:pPr>
              <w:pStyle w:val="Compact"/>
              <w:jc w:val="left"/>
            </w:pPr>
            <w:r>
              <w:t xml:space="preserve">Средний медицинский персонал на 10 000 населения</w:t>
            </w:r>
          </w:p>
        </w:tc>
        <w:tc>
          <w:tcPr/>
          <w:p>
            <w:pPr>
              <w:pStyle w:val="Compact"/>
              <w:jc w:val="left"/>
            </w:pPr>
            <w:r>
              <w:t xml:space="preserve">96,8</w:t>
            </w:r>
          </w:p>
        </w:tc>
        <w:tc>
          <w:tcPr/>
          <w:p>
            <w:pPr>
              <w:pStyle w:val="Compact"/>
              <w:jc w:val="left"/>
            </w:pPr>
            <w:r>
              <w:t xml:space="preserve">95,2</w:t>
            </w:r>
          </w:p>
        </w:tc>
        <w:tc>
          <w:tcPr/>
          <w:p>
            <w:pPr>
              <w:pStyle w:val="Compact"/>
              <w:jc w:val="left"/>
            </w:pPr>
            <w:r>
              <w:t xml:space="preserve">94,5</w:t>
            </w:r>
          </w:p>
        </w:tc>
        <w:tc>
          <w:tcPr/>
          <w:p>
            <w:pPr>
              <w:pStyle w:val="Compact"/>
              <w:jc w:val="left"/>
            </w:pPr>
            <w:r>
              <w:t xml:space="preserve">91,9</w:t>
            </w:r>
          </w:p>
        </w:tc>
        <w:tc>
          <w:tcPr/>
          <w:p>
            <w:pPr>
              <w:pStyle w:val="Compact"/>
              <w:jc w:val="left"/>
            </w:pPr>
            <w:r>
              <w:t xml:space="preserve">−5,1</w:t>
            </w:r>
          </w:p>
        </w:tc>
      </w:tr>
      <w:tr>
        <w:tc>
          <w:tcPr/>
          <w:p>
            <w:pPr>
              <w:pStyle w:val="Compact"/>
              <w:jc w:val="left"/>
            </w:pPr>
            <w:r>
              <w:t xml:space="preserve">Больничные койки, единиц</w:t>
            </w:r>
          </w:p>
        </w:tc>
        <w:tc>
          <w:tcPr/>
          <w:p>
            <w:pPr>
              <w:pStyle w:val="Compact"/>
              <w:jc w:val="left"/>
            </w:pPr>
            <w:r>
              <w:t xml:space="preserve">107 214</w:t>
            </w:r>
          </w:p>
        </w:tc>
        <w:tc>
          <w:tcPr/>
          <w:p>
            <w:pPr>
              <w:pStyle w:val="Compact"/>
              <w:jc w:val="left"/>
            </w:pPr>
            <w:r>
              <w:t xml:space="preserve">107 804</w:t>
            </w:r>
          </w:p>
        </w:tc>
        <w:tc>
          <w:tcPr/>
          <w:p>
            <w:pPr>
              <w:pStyle w:val="Compact"/>
              <w:jc w:val="left"/>
            </w:pPr>
            <w:r>
              <w:t xml:space="preserve">107 335</w:t>
            </w:r>
          </w:p>
        </w:tc>
        <w:tc>
          <w:tcPr/>
          <w:p>
            <w:pPr>
              <w:pStyle w:val="Compact"/>
              <w:jc w:val="left"/>
            </w:pPr>
            <w:r>
              <w:t xml:space="preserve">105 789</w:t>
            </w:r>
          </w:p>
        </w:tc>
        <w:tc>
          <w:tcPr/>
          <w:p>
            <w:pPr>
              <w:pStyle w:val="Compact"/>
              <w:jc w:val="left"/>
            </w:pPr>
            <w:r>
              <w:t xml:space="preserve">−1,3</w:t>
            </w:r>
          </w:p>
        </w:tc>
      </w:tr>
      <w:tr>
        <w:tc>
          <w:tcPr/>
          <w:p>
            <w:pPr>
              <w:pStyle w:val="Compact"/>
              <w:jc w:val="left"/>
            </w:pPr>
            <w:r>
              <w:t xml:space="preserve">Обеспеченность койками на 10 000 населения</w:t>
            </w:r>
          </w:p>
        </w:tc>
        <w:tc>
          <w:tcPr/>
          <w:p>
            <w:pPr>
              <w:pStyle w:val="Compact"/>
              <w:jc w:val="left"/>
            </w:pPr>
            <w:r>
              <w:t xml:space="preserve">54,2</w:t>
            </w:r>
          </w:p>
        </w:tc>
        <w:tc>
          <w:tcPr/>
          <w:p>
            <w:pPr>
              <w:pStyle w:val="Compact"/>
              <w:jc w:val="left"/>
            </w:pPr>
            <w:r>
              <w:t xml:space="preserve">53,8</w:t>
            </w:r>
          </w:p>
        </w:tc>
        <w:tc>
          <w:tcPr/>
          <w:p>
            <w:pPr>
              <w:pStyle w:val="Compact"/>
              <w:jc w:val="left"/>
            </w:pPr>
            <w:r>
              <w:t xml:space="preserve">52,9</w:t>
            </w:r>
          </w:p>
        </w:tc>
        <w:tc>
          <w:tcPr/>
          <w:p>
            <w:pPr>
              <w:pStyle w:val="Compact"/>
              <w:jc w:val="left"/>
            </w:pPr>
            <w:r>
              <w:t xml:space="preserve">51,6</w:t>
            </w:r>
          </w:p>
        </w:tc>
        <w:tc>
          <w:tcPr/>
          <w:p>
            <w:pPr>
              <w:pStyle w:val="Compact"/>
              <w:jc w:val="left"/>
            </w:pPr>
            <w:r>
              <w:t xml:space="preserve">−4,8</w:t>
            </w:r>
          </w:p>
        </w:tc>
      </w:tr>
      <w:tr>
        <w:tc>
          <w:tcPr/>
          <w:p>
            <w:pPr>
              <w:pStyle w:val="Compact"/>
              <w:jc w:val="left"/>
            </w:pPr>
            <w:r>
              <w:t xml:space="preserve">Активные койки системы МЗ на 10 000 населения</w:t>
            </w:r>
          </w:p>
        </w:tc>
        <w:tc>
          <w:tcPr/>
          <w:p>
            <w:pPr>
              <w:pStyle w:val="Compact"/>
              <w:jc w:val="left"/>
            </w:pPr>
            <w:r>
              <w:t xml:space="preserve">37,5</w:t>
            </w:r>
          </w:p>
        </w:tc>
        <w:tc>
          <w:tcPr/>
          <w:p>
            <w:pPr>
              <w:pStyle w:val="Compact"/>
              <w:jc w:val="left"/>
            </w:pPr>
            <w:r>
              <w:t xml:space="preserve">37,5</w:t>
            </w:r>
          </w:p>
        </w:tc>
        <w:tc>
          <w:tcPr/>
          <w:p>
            <w:pPr>
              <w:pStyle w:val="Compact"/>
              <w:jc w:val="left"/>
            </w:pPr>
            <w:r>
              <w:t xml:space="preserve">37,4</w:t>
            </w:r>
          </w:p>
        </w:tc>
        <w:tc>
          <w:tcPr/>
          <w:p>
            <w:pPr>
              <w:pStyle w:val="Compact"/>
              <w:jc w:val="left"/>
            </w:pPr>
            <w:r>
              <w:t xml:space="preserve">36,9</w:t>
            </w:r>
          </w:p>
        </w:tc>
        <w:tc>
          <w:tcPr/>
          <w:p>
            <w:pPr>
              <w:pStyle w:val="Compact"/>
              <w:jc w:val="left"/>
            </w:pPr>
            <w:r>
              <w:t xml:space="preserve">−1,6</w:t>
            </w:r>
          </w:p>
        </w:tc>
      </w:tr>
      <w:tr>
        <w:tc>
          <w:tcPr/>
          <w:p>
            <w:pPr>
              <w:pStyle w:val="Compact"/>
              <w:jc w:val="left"/>
            </w:pPr>
            <w:r>
              <w:t xml:space="preserve">Амбулаторно-поликлинические организации, единиц</w:t>
            </w:r>
          </w:p>
        </w:tc>
        <w:tc>
          <w:tcPr/>
          <w:p>
            <w:pPr>
              <w:pStyle w:val="Compact"/>
              <w:jc w:val="left"/>
            </w:pPr>
            <w:r>
              <w:t xml:space="preserve">3 234</w:t>
            </w:r>
          </w:p>
        </w:tc>
        <w:tc>
          <w:tcPr/>
          <w:p>
            <w:pPr>
              <w:pStyle w:val="Compact"/>
              <w:jc w:val="left"/>
            </w:pPr>
            <w:r>
              <w:t xml:space="preserve">3 323</w:t>
            </w:r>
          </w:p>
        </w:tc>
        <w:tc>
          <w:tcPr/>
          <w:p>
            <w:pPr>
              <w:pStyle w:val="Compact"/>
              <w:jc w:val="left"/>
            </w:pPr>
            <w:r>
              <w:t xml:space="preserve">3 523</w:t>
            </w:r>
          </w:p>
        </w:tc>
        <w:tc>
          <w:tcPr/>
          <w:p>
            <w:pPr>
              <w:pStyle w:val="Compact"/>
              <w:jc w:val="left"/>
            </w:pPr>
            <w:r>
              <w:t xml:space="preserve">3 501</w:t>
            </w:r>
          </w:p>
        </w:tc>
        <w:tc>
          <w:tcPr/>
          <w:p>
            <w:pPr>
              <w:pStyle w:val="Compact"/>
              <w:jc w:val="left"/>
            </w:pPr>
            <w:r>
              <w:t xml:space="preserve">+8,3</w:t>
            </w:r>
          </w:p>
        </w:tc>
      </w:tr>
      <w:tr>
        <w:tc>
          <w:tcPr/>
          <w:p>
            <w:pPr>
              <w:pStyle w:val="Compact"/>
              <w:jc w:val="left"/>
            </w:pPr>
            <w:r>
              <w:t xml:space="preserve">Доля частных АПО, %</w:t>
            </w:r>
          </w:p>
        </w:tc>
        <w:tc>
          <w:tcPr/>
          <w:p>
            <w:pPr>
              <w:pStyle w:val="Compact"/>
              <w:jc w:val="left"/>
            </w:pPr>
            <w:r>
              <w:t xml:space="preserve">37,5</w:t>
            </w:r>
          </w:p>
        </w:tc>
        <w:tc>
          <w:tcPr/>
          <w:p>
            <w:pPr>
              <w:pStyle w:val="Compact"/>
              <w:jc w:val="left"/>
            </w:pPr>
            <w:r>
              <w:t xml:space="preserve">39,9</w:t>
            </w:r>
          </w:p>
        </w:tc>
        <w:tc>
          <w:tcPr/>
          <w:p>
            <w:pPr>
              <w:pStyle w:val="Compact"/>
              <w:jc w:val="left"/>
            </w:pPr>
            <w:r>
              <w:t xml:space="preserve">42,7</w:t>
            </w:r>
          </w:p>
        </w:tc>
        <w:tc>
          <w:tcPr/>
          <w:p>
            <w:pPr>
              <w:pStyle w:val="Compact"/>
              <w:jc w:val="left"/>
            </w:pPr>
            <w:r>
              <w:t xml:space="preserve">43,0</w:t>
            </w:r>
          </w:p>
        </w:tc>
        <w:tc>
          <w:tcPr/>
          <w:p>
            <w:pPr>
              <w:pStyle w:val="Compact"/>
              <w:jc w:val="left"/>
            </w:pPr>
            <w:r>
              <w:t xml:space="preserve">+14,7</w:t>
            </w:r>
          </w:p>
        </w:tc>
      </w:tr>
      <w:tr>
        <w:tc>
          <w:tcPr/>
          <w:p>
            <w:pPr>
              <w:pStyle w:val="Compact"/>
              <w:jc w:val="left"/>
            </w:pPr>
            <w:r>
              <w:t xml:space="preserve">Плановая мощность АПО на 10 000 населения</w:t>
            </w:r>
          </w:p>
        </w:tc>
        <w:tc>
          <w:tcPr/>
          <w:p>
            <w:pPr>
              <w:pStyle w:val="Compact"/>
              <w:jc w:val="left"/>
            </w:pPr>
            <w:r>
              <w:t xml:space="preserve">103,1</w:t>
            </w:r>
          </w:p>
        </w:tc>
        <w:tc>
          <w:tcPr/>
          <w:p>
            <w:pPr>
              <w:pStyle w:val="Compact"/>
              <w:jc w:val="left"/>
            </w:pPr>
            <w:r>
              <w:t xml:space="preserve">103,5</w:t>
            </w:r>
          </w:p>
        </w:tc>
        <w:tc>
          <w:tcPr/>
          <w:p>
            <w:pPr>
              <w:pStyle w:val="Compact"/>
              <w:jc w:val="left"/>
            </w:pPr>
            <w:r>
              <w:t xml:space="preserve">103,5</w:t>
            </w:r>
          </w:p>
        </w:tc>
        <w:tc>
          <w:tcPr/>
          <w:p>
            <w:pPr>
              <w:pStyle w:val="Compact"/>
              <w:jc w:val="left"/>
            </w:pPr>
            <w:r>
              <w:t xml:space="preserve">101,9</w:t>
            </w:r>
          </w:p>
        </w:tc>
        <w:tc>
          <w:tcPr/>
          <w:p>
            <w:pPr>
              <w:pStyle w:val="Compact"/>
              <w:jc w:val="left"/>
            </w:pPr>
            <w:r>
              <w:t xml:space="preserve">−1,2</w:t>
            </w:r>
          </w:p>
        </w:tc>
      </w:tr>
      <w:tr>
        <w:tc>
          <w:tcPr/>
          <w:p>
            <w:pPr>
              <w:pStyle w:val="Compact"/>
              <w:jc w:val="left"/>
            </w:pPr>
            <w:r>
              <w:t xml:space="preserve">Посещения врачей на одного жителя</w:t>
            </w:r>
          </w:p>
        </w:tc>
        <w:tc>
          <w:tcPr/>
          <w:p>
            <w:pPr>
              <w:pStyle w:val="Compact"/>
              <w:jc w:val="left"/>
            </w:pPr>
            <w:r>
              <w:t xml:space="preserve">5,1</w:t>
            </w:r>
          </w:p>
        </w:tc>
        <w:tc>
          <w:tcPr/>
          <w:p>
            <w:pPr>
              <w:pStyle w:val="Compact"/>
              <w:jc w:val="left"/>
            </w:pPr>
            <w:r>
              <w:t xml:space="preserve">5,4</w:t>
            </w:r>
          </w:p>
        </w:tc>
        <w:tc>
          <w:tcPr/>
          <w:p>
            <w:pPr>
              <w:pStyle w:val="Compact"/>
              <w:jc w:val="left"/>
            </w:pPr>
            <w:r>
              <w:t xml:space="preserve">5,5</w:t>
            </w:r>
          </w:p>
        </w:tc>
        <w:tc>
          <w:tcPr/>
          <w:p>
            <w:pPr>
              <w:pStyle w:val="Compact"/>
              <w:jc w:val="left"/>
            </w:pPr>
            <w:r>
              <w:t xml:space="preserve">5,2</w:t>
            </w:r>
          </w:p>
        </w:tc>
        <w:tc>
          <w:tcPr/>
          <w:p>
            <w:pPr>
              <w:pStyle w:val="Compact"/>
              <w:jc w:val="left"/>
            </w:pPr>
            <w:r>
              <w:t xml:space="preserve">+2,0</w:t>
            </w:r>
          </w:p>
        </w:tc>
      </w:tr>
      <w:tr>
        <w:tc>
          <w:tcPr/>
          <w:p>
            <w:pPr>
              <w:pStyle w:val="Compact"/>
              <w:jc w:val="left"/>
            </w:pPr>
            <w:r>
              <w:t xml:space="preserve">Госпитализации в государственных больничных организациях на 100 жителей</w:t>
            </w:r>
          </w:p>
        </w:tc>
        <w:tc>
          <w:tcPr/>
          <w:p>
            <w:pPr>
              <w:pStyle w:val="Compact"/>
              <w:jc w:val="left"/>
            </w:pPr>
            <w:r>
              <w:t xml:space="preserve">15,1</w:t>
            </w:r>
          </w:p>
        </w:tc>
        <w:tc>
          <w:tcPr/>
          <w:p>
            <w:pPr>
              <w:pStyle w:val="Compact"/>
              <w:jc w:val="left"/>
            </w:pPr>
            <w:r>
              <w:t xml:space="preserve">15,5</w:t>
            </w:r>
          </w:p>
        </w:tc>
        <w:tc>
          <w:tcPr/>
          <w:p>
            <w:pPr>
              <w:pStyle w:val="Compact"/>
              <w:jc w:val="left"/>
            </w:pPr>
            <w:r>
              <w:t xml:space="preserve">15,8</w:t>
            </w:r>
          </w:p>
        </w:tc>
        <w:tc>
          <w:tcPr/>
          <w:p>
            <w:pPr>
              <w:pStyle w:val="Compact"/>
              <w:jc w:val="left"/>
            </w:pPr>
            <w:r>
              <w:t xml:space="preserve">15,7</w:t>
            </w:r>
          </w:p>
        </w:tc>
        <w:tc>
          <w:tcPr/>
          <w:p>
            <w:pPr>
              <w:pStyle w:val="Compact"/>
              <w:jc w:val="left"/>
            </w:pPr>
            <w:r>
              <w:t xml:space="preserve">+4,0</w:t>
            </w:r>
          </w:p>
        </w:tc>
      </w:tr>
      <w:tr>
        <w:tc>
          <w:tcPr/>
          <w:p>
            <w:pPr>
              <w:pStyle w:val="Compact"/>
              <w:jc w:val="left"/>
            </w:pPr>
            <w:r>
              <w:t xml:space="preserve">Обслужено скорой медицинской помощью при выездах на 1000 населения</w:t>
            </w:r>
          </w:p>
        </w:tc>
        <w:tc>
          <w:tcPr/>
          <w:p>
            <w:pPr>
              <w:pStyle w:val="Compact"/>
              <w:jc w:val="left"/>
            </w:pPr>
            <w:r>
              <w:t xml:space="preserve">363,2</w:t>
            </w:r>
          </w:p>
        </w:tc>
        <w:tc>
          <w:tcPr/>
          <w:p>
            <w:pPr>
              <w:pStyle w:val="Compact"/>
              <w:jc w:val="left"/>
            </w:pPr>
            <w:r>
              <w:t xml:space="preserve">424,4</w:t>
            </w:r>
          </w:p>
        </w:tc>
        <w:tc>
          <w:tcPr/>
          <w:p>
            <w:pPr>
              <w:pStyle w:val="Compact"/>
              <w:jc w:val="left"/>
            </w:pPr>
            <w:r>
              <w:t xml:space="preserve">420,4</w:t>
            </w:r>
          </w:p>
        </w:tc>
        <w:tc>
          <w:tcPr/>
          <w:p>
            <w:pPr>
              <w:pStyle w:val="Compact"/>
              <w:jc w:val="left"/>
            </w:pPr>
            <w:r>
              <w:t xml:space="preserve">406,3</w:t>
            </w:r>
          </w:p>
        </w:tc>
        <w:tc>
          <w:tcPr/>
          <w:p>
            <w:pPr>
              <w:pStyle w:val="Compact"/>
              <w:jc w:val="left"/>
            </w:pPr>
            <w:r>
              <w:t xml:space="preserve">+11,9</w:t>
            </w:r>
          </w:p>
        </w:tc>
      </w:tr>
      <w:tr>
        <w:tc>
          <w:tcPr/>
          <w:p>
            <w:pPr>
              <w:pStyle w:val="Compact"/>
              <w:jc w:val="left"/>
            </w:pPr>
            <w:r>
              <w:t xml:space="preserve">Занятость койки, дней в году</w:t>
            </w:r>
          </w:p>
        </w:tc>
        <w:tc>
          <w:tcPr/>
          <w:p>
            <w:pPr>
              <w:pStyle w:val="Compact"/>
              <w:jc w:val="left"/>
            </w:pPr>
            <w:r>
              <w:t xml:space="preserve">267</w:t>
            </w:r>
          </w:p>
        </w:tc>
        <w:tc>
          <w:tcPr/>
          <w:p>
            <w:pPr>
              <w:pStyle w:val="Compact"/>
              <w:jc w:val="left"/>
            </w:pPr>
            <w:r>
              <w:t xml:space="preserve">297</w:t>
            </w:r>
          </w:p>
        </w:tc>
        <w:tc>
          <w:tcPr/>
          <w:p>
            <w:pPr>
              <w:pStyle w:val="Compact"/>
              <w:jc w:val="left"/>
            </w:pPr>
            <w:r>
              <w:t xml:space="preserve">303</w:t>
            </w:r>
          </w:p>
        </w:tc>
        <w:tc>
          <w:tcPr/>
          <w:p>
            <w:pPr>
              <w:pStyle w:val="Compact"/>
              <w:jc w:val="left"/>
            </w:pPr>
            <w:r>
              <w:t xml:space="preserve">300</w:t>
            </w:r>
          </w:p>
        </w:tc>
        <w:tc>
          <w:tcPr/>
          <w:p>
            <w:pPr>
              <w:pStyle w:val="Compact"/>
              <w:jc w:val="left"/>
            </w:pPr>
            <w:r>
              <w:t xml:space="preserve">+12,4</w:t>
            </w:r>
          </w:p>
        </w:tc>
      </w:tr>
      <w:tr>
        <w:tc>
          <w:tcPr/>
          <w:p>
            <w:pPr>
              <w:pStyle w:val="Compact"/>
              <w:jc w:val="left"/>
            </w:pPr>
            <w:r>
              <w:t xml:space="preserve">Оборот койки, раз в год</w:t>
            </w:r>
          </w:p>
        </w:tc>
        <w:tc>
          <w:tcPr/>
          <w:p>
            <w:pPr>
              <w:pStyle w:val="Compact"/>
              <w:jc w:val="left"/>
            </w:pPr>
            <w:r>
              <w:t xml:space="preserve">37,8</w:t>
            </w:r>
          </w:p>
        </w:tc>
        <w:tc>
          <w:tcPr/>
          <w:p>
            <w:pPr>
              <w:pStyle w:val="Compact"/>
              <w:jc w:val="left"/>
            </w:pPr>
            <w:r>
              <w:t xml:space="preserve">39,0</w:t>
            </w:r>
          </w:p>
        </w:tc>
        <w:tc>
          <w:tcPr/>
          <w:p>
            <w:pPr>
              <w:pStyle w:val="Compact"/>
              <w:jc w:val="left"/>
            </w:pPr>
            <w:r>
              <w:t xml:space="preserve">40,3</w:t>
            </w:r>
          </w:p>
        </w:tc>
        <w:tc>
          <w:tcPr/>
          <w:p>
            <w:pPr>
              <w:pStyle w:val="Compact"/>
              <w:jc w:val="left"/>
            </w:pPr>
            <w:r>
              <w:t xml:space="preserve">40,5</w:t>
            </w:r>
          </w:p>
        </w:tc>
        <w:tc>
          <w:tcPr/>
          <w:p>
            <w:pPr>
              <w:pStyle w:val="Compact"/>
              <w:jc w:val="left"/>
            </w:pPr>
            <w:r>
              <w:t xml:space="preserve">+7,1</w:t>
            </w:r>
          </w:p>
        </w:tc>
      </w:tr>
      <w:tr>
        <w:tc>
          <w:tcPr/>
          <w:p>
            <w:pPr>
              <w:pStyle w:val="Compact"/>
              <w:jc w:val="left"/>
            </w:pPr>
            <w:r>
              <w:t xml:space="preserve">Средняя длительность пребывания, дней</w:t>
            </w:r>
          </w:p>
        </w:tc>
        <w:tc>
          <w:tcPr/>
          <w:p>
            <w:pPr>
              <w:pStyle w:val="Compact"/>
              <w:jc w:val="left"/>
            </w:pPr>
            <w:r>
              <w:t xml:space="preserve">7,4</w:t>
            </w:r>
          </w:p>
        </w:tc>
        <w:tc>
          <w:tcPr/>
          <w:p>
            <w:pPr>
              <w:pStyle w:val="Compact"/>
              <w:jc w:val="left"/>
            </w:pPr>
            <w:r>
              <w:t xml:space="preserve">7,6</w:t>
            </w:r>
          </w:p>
        </w:tc>
        <w:tc>
          <w:tcPr/>
          <w:p>
            <w:pPr>
              <w:pStyle w:val="Compact"/>
              <w:jc w:val="left"/>
            </w:pPr>
            <w:r>
              <w:t xml:space="preserve">7,5</w:t>
            </w:r>
          </w:p>
        </w:tc>
        <w:tc>
          <w:tcPr/>
          <w:p>
            <w:pPr>
              <w:pStyle w:val="Compact"/>
              <w:jc w:val="left"/>
            </w:pPr>
            <w:r>
              <w:t xml:space="preserve">7,4</w:t>
            </w:r>
          </w:p>
        </w:tc>
        <w:tc>
          <w:tcPr/>
          <w:p>
            <w:pPr>
              <w:pStyle w:val="Compact"/>
              <w:jc w:val="left"/>
            </w:pPr>
            <w:r>
              <w:t xml:space="preserve">0,0</w:t>
            </w:r>
          </w:p>
        </w:tc>
      </w:tr>
    </w:tbl>
    <w:p>
      <w:pPr>
        <w:pStyle w:val="BodyText"/>
      </w:pPr>
      <w:r>
        <w:rPr>
          <w:bCs/>
          <w:b/>
        </w:rPr>
        <w:t xml:space="preserve">Таблица 1.</w:t>
      </w:r>
      <w:r>
        <w:t xml:space="preserve"> </w:t>
      </w:r>
      <w:r>
        <w:t xml:space="preserve">Национальная динамика ресурсов и зарегистрированного использования медицинской помощи, 2022–2025 годы. Значения являются официальными агрегированными показателями по стране. АПО — амбулаторно-поликлинические организации; МЗ — Министерство здравоохранения.</w:t>
      </w:r>
    </w:p>
    <w:bookmarkEnd w:id="34"/>
    <w:bookmarkStart w:id="35" w:name="межрегиональная-вариабельность"/>
    <w:p>
      <w:pPr>
        <w:pStyle w:val="Heading3"/>
      </w:pPr>
      <w:r>
        <w:t xml:space="preserve">Межрегиональная вариабельность</w:t>
      </w:r>
    </w:p>
    <w:p>
      <w:pPr>
        <w:pStyle w:val="FirstParagraph"/>
      </w:pPr>
      <w:r>
        <w:t xml:space="preserve">В 2025 году медианная обеспеченность врачами составила 33,2 на 10 000 населения; минимальное значение наблюдалось в Алматинской области, максимальное — в Астане. Межрегиональная вариабельность обеспеченности врачами уменьшилась: коэффициент вариации снизился с 35,6% до 29,7%, коэффициент Джини — с 0,183 до 0,155. В то же время вариабельность обеспеченности средним медицинским персоналом и плановой амбулаторной мощности несколько увеличилась.</w:t>
      </w:r>
    </w:p>
    <w:p>
      <w:pPr>
        <w:pStyle w:val="BodyText"/>
      </w:pPr>
      <w:r>
        <w:t xml:space="preserve">Медиана числа обслуженных скорой медицинской помощью выросла с 358,5 до 393,4 на 1000 населения, но межрегиональная вариабельность по этому показателю уменьшилась. Медианная занятость койки увеличилась с 273,2 до 296,0 дня, а коэффициент Джини снизился с 0,071 до 0,048.</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Показатель</w:t>
            </w:r>
          </w:p>
        </w:tc>
        <w:tc>
          <w:tcPr>
            <w:gridSpan w:val="2"/>
          </w:tcPr>
          <w:p>
            <w:pPr>
              <w:pStyle w:val="Compact"/>
              <w:jc w:val="left"/>
            </w:pPr>
            <w:r>
              <w:t xml:space="preserve">Медиана (IQR)</w:t>
            </w:r>
          </w:p>
        </w:tc>
        <w:tc>
          <w:tcPr>
            <w:gridSpan w:val="2"/>
          </w:tcPr>
          <w:p>
            <w:pPr>
              <w:pStyle w:val="Compact"/>
              <w:jc w:val="left"/>
            </w:pPr>
            <w:r>
              <w:t xml:space="preserve">CV, %</w:t>
            </w:r>
          </w:p>
        </w:tc>
        <w:tc>
          <w:tcPr>
            <w:gridSpan w:val="2"/>
          </w:tcPr>
          <w:p>
            <w:pPr>
              <w:pStyle w:val="Compact"/>
              <w:jc w:val="left"/>
            </w:pPr>
            <w:r>
              <w:t xml:space="preserve">Gini</w:t>
            </w:r>
          </w:p>
        </w:tc>
      </w:tr>
      <w:tr>
        <w:tc>
          <w:tcPr/>
          <w:p>
            <w:pPr>
              <w:pStyle w:val="Compact"/>
              <w:jc w:val="left"/>
            </w:pPr>
            <w:r>
              <w:t xml:space="preserve">2022</w:t>
            </w:r>
          </w:p>
        </w:tc>
        <w:tc>
          <w:tcPr/>
          <w:p>
            <w:pPr>
              <w:pStyle w:val="Compact"/>
              <w:jc w:val="left"/>
            </w:pPr>
            <w:r>
              <w:t xml:space="preserve">2025</w:t>
            </w:r>
          </w:p>
        </w:tc>
        <w:tc>
          <w:tcPr/>
          <w:p>
            <w:pPr>
              <w:pStyle w:val="Compact"/>
              <w:jc w:val="left"/>
            </w:pPr>
            <w:r>
              <w:t xml:space="preserve">2022</w:t>
            </w:r>
          </w:p>
        </w:tc>
        <w:tc>
          <w:tcPr/>
          <w:p>
            <w:pPr>
              <w:pStyle w:val="Compact"/>
              <w:jc w:val="left"/>
            </w:pPr>
            <w:r>
              <w:t xml:space="preserve">2025</w:t>
            </w:r>
          </w:p>
        </w:tc>
        <w:tc>
          <w:tcPr/>
          <w:p>
            <w:pPr>
              <w:pStyle w:val="Compact"/>
              <w:jc w:val="left"/>
            </w:pPr>
            <w:r>
              <w:t xml:space="preserve">2022</w:t>
            </w:r>
          </w:p>
        </w:tc>
        <w:tc>
          <w:tcPr/>
          <w:p>
            <w:pPr>
              <w:pStyle w:val="Compact"/>
              <w:jc w:val="left"/>
            </w:pPr>
            <w:r>
              <w:t xml:space="preserve">2025</w:t>
            </w:r>
          </w:p>
        </w:tc>
        <w:tc>
          <w:tcPr/>
          <w:p>
            <w:pPr>
              <w:pStyle w:val="Compact"/>
            </w:pPr>
          </w:p>
        </w:tc>
      </w:tr>
      <w:tr>
        <w:tc>
          <w:tcPr/>
          <w:p>
            <w:pPr>
              <w:pStyle w:val="Compact"/>
              <w:jc w:val="left"/>
            </w:pPr>
            <w:r>
              <w:t xml:space="preserve">Врачи на 10 000 населения</w:t>
            </w:r>
          </w:p>
        </w:tc>
        <w:tc>
          <w:tcPr/>
          <w:p>
            <w:pPr>
              <w:pStyle w:val="Compact"/>
              <w:jc w:val="left"/>
            </w:pPr>
            <w:r>
              <w:t xml:space="preserve">32,4 (29,2–43,9)</w:t>
            </w:r>
          </w:p>
        </w:tc>
        <w:tc>
          <w:tcPr/>
          <w:p>
            <w:pPr>
              <w:pStyle w:val="Compact"/>
              <w:jc w:val="left"/>
            </w:pPr>
            <w:r>
              <w:t xml:space="preserve">33,2 (30,4–44,8)</w:t>
            </w:r>
          </w:p>
        </w:tc>
        <w:tc>
          <w:tcPr/>
          <w:p>
            <w:pPr>
              <w:pStyle w:val="Compact"/>
              <w:jc w:val="left"/>
            </w:pPr>
            <w:r>
              <w:t xml:space="preserve">35,6</w:t>
            </w:r>
          </w:p>
        </w:tc>
        <w:tc>
          <w:tcPr/>
          <w:p>
            <w:pPr>
              <w:pStyle w:val="Compact"/>
              <w:jc w:val="left"/>
            </w:pPr>
            <w:r>
              <w:t xml:space="preserve">29,7</w:t>
            </w:r>
          </w:p>
        </w:tc>
        <w:tc>
          <w:tcPr/>
          <w:p>
            <w:pPr>
              <w:pStyle w:val="Compact"/>
              <w:jc w:val="left"/>
            </w:pPr>
            <w:r>
              <w:t xml:space="preserve">0,183</w:t>
            </w:r>
          </w:p>
        </w:tc>
        <w:tc>
          <w:tcPr/>
          <w:p>
            <w:pPr>
              <w:pStyle w:val="Compact"/>
              <w:jc w:val="left"/>
            </w:pPr>
            <w:r>
              <w:t xml:space="preserve">0,155</w:t>
            </w:r>
          </w:p>
        </w:tc>
      </w:tr>
      <w:tr>
        <w:tc>
          <w:tcPr/>
          <w:p>
            <w:pPr>
              <w:pStyle w:val="Compact"/>
              <w:jc w:val="left"/>
            </w:pPr>
            <w:r>
              <w:t xml:space="preserve">Средний медицинский персонал на 10 000 населения</w:t>
            </w:r>
          </w:p>
        </w:tc>
        <w:tc>
          <w:tcPr/>
          <w:p>
            <w:pPr>
              <w:pStyle w:val="Compact"/>
              <w:jc w:val="left"/>
            </w:pPr>
            <w:r>
              <w:t xml:space="preserve">99,4 (91,2–103,3)</w:t>
            </w:r>
          </w:p>
        </w:tc>
        <w:tc>
          <w:tcPr/>
          <w:p>
            <w:pPr>
              <w:pStyle w:val="Compact"/>
              <w:jc w:val="left"/>
            </w:pPr>
            <w:r>
              <w:t xml:space="preserve">95,6 (86,6–101,4)</w:t>
            </w:r>
          </w:p>
        </w:tc>
        <w:tc>
          <w:tcPr/>
          <w:p>
            <w:pPr>
              <w:pStyle w:val="Compact"/>
              <w:jc w:val="left"/>
            </w:pPr>
            <w:r>
              <w:t xml:space="preserve">12,9</w:t>
            </w:r>
          </w:p>
        </w:tc>
        <w:tc>
          <w:tcPr/>
          <w:p>
            <w:pPr>
              <w:pStyle w:val="Compact"/>
              <w:jc w:val="left"/>
            </w:pPr>
            <w:r>
              <w:t xml:space="preserve">14,3</w:t>
            </w:r>
          </w:p>
        </w:tc>
        <w:tc>
          <w:tcPr/>
          <w:p>
            <w:pPr>
              <w:pStyle w:val="Compact"/>
              <w:jc w:val="left"/>
            </w:pPr>
            <w:r>
              <w:t xml:space="preserve">0,068</w:t>
            </w:r>
          </w:p>
        </w:tc>
        <w:tc>
          <w:tcPr/>
          <w:p>
            <w:pPr>
              <w:pStyle w:val="Compact"/>
              <w:jc w:val="left"/>
            </w:pPr>
            <w:r>
              <w:t xml:space="preserve">0,076</w:t>
            </w:r>
          </w:p>
        </w:tc>
      </w:tr>
      <w:tr>
        <w:tc>
          <w:tcPr/>
          <w:p>
            <w:pPr>
              <w:pStyle w:val="Compact"/>
              <w:jc w:val="left"/>
            </w:pPr>
            <w:r>
              <w:t xml:space="preserve">Койки на 10 000 населения</w:t>
            </w:r>
          </w:p>
        </w:tc>
        <w:tc>
          <w:tcPr/>
          <w:p>
            <w:pPr>
              <w:pStyle w:val="Compact"/>
              <w:jc w:val="left"/>
            </w:pPr>
            <w:r>
              <w:t xml:space="preserve">57,9 (48,2–60,7)</w:t>
            </w:r>
          </w:p>
        </w:tc>
        <w:tc>
          <w:tcPr/>
          <w:p>
            <w:pPr>
              <w:pStyle w:val="Compact"/>
              <w:jc w:val="left"/>
            </w:pPr>
            <w:r>
              <w:t xml:space="preserve">55,4 (47,7–59,0)</w:t>
            </w:r>
          </w:p>
        </w:tc>
        <w:tc>
          <w:tcPr/>
          <w:p>
            <w:pPr>
              <w:pStyle w:val="Compact"/>
              <w:jc w:val="left"/>
            </w:pPr>
            <w:r>
              <w:t xml:space="preserve">17,3</w:t>
            </w:r>
          </w:p>
        </w:tc>
        <w:tc>
          <w:tcPr/>
          <w:p>
            <w:pPr>
              <w:pStyle w:val="Compact"/>
              <w:jc w:val="left"/>
            </w:pPr>
            <w:r>
              <w:t xml:space="preserve">16,7</w:t>
            </w:r>
          </w:p>
        </w:tc>
        <w:tc>
          <w:tcPr/>
          <w:p>
            <w:pPr>
              <w:pStyle w:val="Compact"/>
              <w:jc w:val="left"/>
            </w:pPr>
            <w:r>
              <w:t xml:space="preserve">0,095</w:t>
            </w:r>
          </w:p>
        </w:tc>
        <w:tc>
          <w:tcPr/>
          <w:p>
            <w:pPr>
              <w:pStyle w:val="Compact"/>
              <w:jc w:val="left"/>
            </w:pPr>
            <w:r>
              <w:t xml:space="preserve">0,092</w:t>
            </w:r>
          </w:p>
        </w:tc>
      </w:tr>
      <w:tr>
        <w:tc>
          <w:tcPr/>
          <w:p>
            <w:pPr>
              <w:pStyle w:val="Compact"/>
              <w:jc w:val="left"/>
            </w:pPr>
            <w:r>
              <w:t xml:space="preserve">Плановая мощность АПО на 10 000 населения</w:t>
            </w:r>
          </w:p>
        </w:tc>
        <w:tc>
          <w:tcPr/>
          <w:p>
            <w:pPr>
              <w:pStyle w:val="Compact"/>
              <w:jc w:val="left"/>
            </w:pPr>
            <w:r>
              <w:t xml:space="preserve">112,7 (82,4–129,0)</w:t>
            </w:r>
          </w:p>
        </w:tc>
        <w:tc>
          <w:tcPr/>
          <w:p>
            <w:pPr>
              <w:pStyle w:val="Compact"/>
              <w:jc w:val="left"/>
            </w:pPr>
            <w:r>
              <w:t xml:space="preserve">105,8 (86,0–130,4)</w:t>
            </w:r>
          </w:p>
        </w:tc>
        <w:tc>
          <w:tcPr/>
          <w:p>
            <w:pPr>
              <w:pStyle w:val="Compact"/>
              <w:jc w:val="left"/>
            </w:pPr>
            <w:r>
              <w:t xml:space="preserve">28,3</w:t>
            </w:r>
          </w:p>
        </w:tc>
        <w:tc>
          <w:tcPr/>
          <w:p>
            <w:pPr>
              <w:pStyle w:val="Compact"/>
              <w:jc w:val="left"/>
            </w:pPr>
            <w:r>
              <w:t xml:space="preserve">29,8</w:t>
            </w:r>
          </w:p>
        </w:tc>
        <w:tc>
          <w:tcPr/>
          <w:p>
            <w:pPr>
              <w:pStyle w:val="Compact"/>
              <w:jc w:val="left"/>
            </w:pPr>
            <w:r>
              <w:t xml:space="preserve">0,156</w:t>
            </w:r>
          </w:p>
        </w:tc>
        <w:tc>
          <w:tcPr/>
          <w:p>
            <w:pPr>
              <w:pStyle w:val="Compact"/>
              <w:jc w:val="left"/>
            </w:pPr>
            <w:r>
              <w:t xml:space="preserve">0,165</w:t>
            </w:r>
          </w:p>
        </w:tc>
      </w:tr>
      <w:tr>
        <w:tc>
          <w:tcPr/>
          <w:p>
            <w:pPr>
              <w:pStyle w:val="Compact"/>
              <w:jc w:val="left"/>
            </w:pPr>
            <w:r>
              <w:t xml:space="preserve">Посещения врачей на одного жителя</w:t>
            </w:r>
          </w:p>
        </w:tc>
        <w:tc>
          <w:tcPr/>
          <w:p>
            <w:pPr>
              <w:pStyle w:val="Compact"/>
              <w:jc w:val="left"/>
            </w:pPr>
            <w:r>
              <w:t xml:space="preserve">4,8 (4,3–5,4)</w:t>
            </w:r>
          </w:p>
        </w:tc>
        <w:tc>
          <w:tcPr/>
          <w:p>
            <w:pPr>
              <w:pStyle w:val="Compact"/>
              <w:jc w:val="left"/>
            </w:pPr>
            <w:r>
              <w:t xml:space="preserve">5,2 (4,3–5,8)</w:t>
            </w:r>
          </w:p>
        </w:tc>
        <w:tc>
          <w:tcPr/>
          <w:p>
            <w:pPr>
              <w:pStyle w:val="Compact"/>
              <w:jc w:val="left"/>
            </w:pPr>
            <w:r>
              <w:t xml:space="preserve">18,5</w:t>
            </w:r>
          </w:p>
        </w:tc>
        <w:tc>
          <w:tcPr/>
          <w:p>
            <w:pPr>
              <w:pStyle w:val="Compact"/>
              <w:jc w:val="left"/>
            </w:pPr>
            <w:r>
              <w:t xml:space="preserve">18,8</w:t>
            </w:r>
          </w:p>
        </w:tc>
        <w:tc>
          <w:tcPr/>
          <w:p>
            <w:pPr>
              <w:pStyle w:val="Compact"/>
              <w:jc w:val="left"/>
            </w:pPr>
            <w:r>
              <w:t xml:space="preserve">0,101</w:t>
            </w:r>
          </w:p>
        </w:tc>
        <w:tc>
          <w:tcPr/>
          <w:p>
            <w:pPr>
              <w:pStyle w:val="Compact"/>
              <w:jc w:val="left"/>
            </w:pPr>
            <w:r>
              <w:t xml:space="preserve">0,105</w:t>
            </w:r>
          </w:p>
        </w:tc>
      </w:tr>
      <w:tr>
        <w:tc>
          <w:tcPr/>
          <w:p>
            <w:pPr>
              <w:pStyle w:val="Compact"/>
              <w:jc w:val="left"/>
            </w:pPr>
            <w:r>
              <w:t xml:space="preserve">Обслужено скорой медицинской помощью на 1000 населения</w:t>
            </w:r>
          </w:p>
        </w:tc>
        <w:tc>
          <w:tcPr/>
          <w:p>
            <w:pPr>
              <w:pStyle w:val="Compact"/>
              <w:jc w:val="left"/>
            </w:pPr>
            <w:r>
              <w:t xml:space="preserve">358,5 (314,8–434,1)</w:t>
            </w:r>
          </w:p>
        </w:tc>
        <w:tc>
          <w:tcPr/>
          <w:p>
            <w:pPr>
              <w:pStyle w:val="Compact"/>
              <w:jc w:val="left"/>
            </w:pPr>
            <w:r>
              <w:t xml:space="preserve">393,4 (356,8–434,5)</w:t>
            </w:r>
          </w:p>
        </w:tc>
        <w:tc>
          <w:tcPr/>
          <w:p>
            <w:pPr>
              <w:pStyle w:val="Compact"/>
              <w:jc w:val="left"/>
            </w:pPr>
            <w:r>
              <w:t xml:space="preserve">26,2</w:t>
            </w:r>
          </w:p>
        </w:tc>
        <w:tc>
          <w:tcPr/>
          <w:p>
            <w:pPr>
              <w:pStyle w:val="Compact"/>
              <w:jc w:val="left"/>
            </w:pPr>
            <w:r>
              <w:t xml:space="preserve">17,1</w:t>
            </w:r>
          </w:p>
        </w:tc>
        <w:tc>
          <w:tcPr/>
          <w:p>
            <w:pPr>
              <w:pStyle w:val="Compact"/>
              <w:jc w:val="left"/>
            </w:pPr>
            <w:r>
              <w:t xml:space="preserve">0,137</w:t>
            </w:r>
          </w:p>
        </w:tc>
        <w:tc>
          <w:tcPr/>
          <w:p>
            <w:pPr>
              <w:pStyle w:val="Compact"/>
              <w:jc w:val="left"/>
            </w:pPr>
            <w:r>
              <w:t xml:space="preserve">0,092</w:t>
            </w:r>
          </w:p>
        </w:tc>
      </w:tr>
      <w:tr>
        <w:tc>
          <w:tcPr/>
          <w:p>
            <w:pPr>
              <w:pStyle w:val="Compact"/>
              <w:jc w:val="left"/>
            </w:pPr>
            <w:r>
              <w:t xml:space="preserve">Госпитализации в государственных стационарах на 100 жителей</w:t>
            </w:r>
          </w:p>
        </w:tc>
        <w:tc>
          <w:tcPr/>
          <w:p>
            <w:pPr>
              <w:pStyle w:val="Compact"/>
              <w:jc w:val="left"/>
            </w:pPr>
            <w:r>
              <w:t xml:space="preserve">15,3 (13,3–16,6)</w:t>
            </w:r>
          </w:p>
        </w:tc>
        <w:tc>
          <w:tcPr/>
          <w:p>
            <w:pPr>
              <w:pStyle w:val="Compact"/>
              <w:jc w:val="left"/>
            </w:pPr>
            <w:r>
              <w:t xml:space="preserve">15,7 (14,2–17,9)</w:t>
            </w:r>
          </w:p>
        </w:tc>
        <w:tc>
          <w:tcPr/>
          <w:p>
            <w:pPr>
              <w:pStyle w:val="Compact"/>
              <w:jc w:val="left"/>
            </w:pPr>
            <w:r>
              <w:t xml:space="preserve">14,7</w:t>
            </w:r>
          </w:p>
        </w:tc>
        <w:tc>
          <w:tcPr/>
          <w:p>
            <w:pPr>
              <w:pStyle w:val="Compact"/>
              <w:jc w:val="left"/>
            </w:pPr>
            <w:r>
              <w:t xml:space="preserve">15,9</w:t>
            </w:r>
          </w:p>
        </w:tc>
        <w:tc>
          <w:tcPr/>
          <w:p>
            <w:pPr>
              <w:pStyle w:val="Compact"/>
              <w:jc w:val="left"/>
            </w:pPr>
            <w:r>
              <w:t xml:space="preserve">0,081</w:t>
            </w:r>
          </w:p>
        </w:tc>
        <w:tc>
          <w:tcPr/>
          <w:p>
            <w:pPr>
              <w:pStyle w:val="Compact"/>
              <w:jc w:val="left"/>
            </w:pPr>
            <w:r>
              <w:t xml:space="preserve">0,088</w:t>
            </w:r>
          </w:p>
        </w:tc>
      </w:tr>
      <w:tr>
        <w:tc>
          <w:tcPr/>
          <w:p>
            <w:pPr>
              <w:pStyle w:val="Compact"/>
              <w:jc w:val="left"/>
            </w:pPr>
            <w:r>
              <w:t xml:space="preserve">Занятость койки, дней в году</w:t>
            </w:r>
          </w:p>
        </w:tc>
        <w:tc>
          <w:tcPr/>
          <w:p>
            <w:pPr>
              <w:pStyle w:val="Compact"/>
              <w:jc w:val="left"/>
            </w:pPr>
            <w:r>
              <w:t xml:space="preserve">273,2 (243,5–287,1)</w:t>
            </w:r>
          </w:p>
        </w:tc>
        <w:tc>
          <w:tcPr/>
          <w:p>
            <w:pPr>
              <w:pStyle w:val="Compact"/>
              <w:jc w:val="left"/>
            </w:pPr>
            <w:r>
              <w:t xml:space="preserve">296,0 (273,0–316,2)</w:t>
            </w:r>
          </w:p>
        </w:tc>
        <w:tc>
          <w:tcPr/>
          <w:p>
            <w:pPr>
              <w:pStyle w:val="Compact"/>
              <w:jc w:val="left"/>
            </w:pPr>
            <w:r>
              <w:t xml:space="preserve">13,2</w:t>
            </w:r>
          </w:p>
        </w:tc>
        <w:tc>
          <w:tcPr/>
          <w:p>
            <w:pPr>
              <w:pStyle w:val="Compact"/>
              <w:jc w:val="left"/>
            </w:pPr>
            <w:r>
              <w:t xml:space="preserve">8,7</w:t>
            </w:r>
          </w:p>
        </w:tc>
        <w:tc>
          <w:tcPr/>
          <w:p>
            <w:pPr>
              <w:pStyle w:val="Compact"/>
              <w:jc w:val="left"/>
            </w:pPr>
            <w:r>
              <w:t xml:space="preserve">0,071</w:t>
            </w:r>
          </w:p>
        </w:tc>
        <w:tc>
          <w:tcPr/>
          <w:p>
            <w:pPr>
              <w:pStyle w:val="Compact"/>
              <w:jc w:val="left"/>
            </w:pPr>
            <w:r>
              <w:t xml:space="preserve">0,048</w:t>
            </w:r>
          </w:p>
        </w:tc>
      </w:tr>
    </w:tbl>
    <w:p>
      <w:pPr>
        <w:pStyle w:val="BodyText"/>
      </w:pPr>
      <w:r>
        <w:rPr>
          <w:bCs/>
          <w:b/>
        </w:rPr>
        <w:t xml:space="preserve">Таблица 2.</w:t>
      </w:r>
      <w:r>
        <w:t xml:space="preserve"> </w:t>
      </w:r>
      <w:r>
        <w:t xml:space="preserve">Межрегиональная вариабельность основных ресурсных показателей и зарегистрированного использования медицинской помощи. IQR — межквартильный размах; CV — коэффициент вариации; Gini — коэффициент Джини; АПО — амбулаторно-поликлинические организации. Показатели характеризуют распределение 20 регионов и не являются национальными средними.</w:t>
      </w:r>
    </w:p>
    <w:bookmarkEnd w:id="35"/>
    <w:bookmarkStart w:id="36" w:name="Xf644c6a3b4bf85ba080c7d5c5ce756bb60851ff"/>
    <w:p>
      <w:pPr>
        <w:pStyle w:val="Heading3"/>
      </w:pPr>
      <w:r>
        <w:t xml:space="preserve">Относительное соответствие ресурсов и зарегистрированной нагрузки</w:t>
      </w:r>
    </w:p>
    <w:p>
      <w:pPr>
        <w:pStyle w:val="FirstParagraph"/>
      </w:pPr>
      <w:r>
        <w:t xml:space="preserve">В 2025 году значения ниже условной границы −1 стандартного отклонения наблюдались в Туркестанской (−1,365) и Атырауской (−1,114) областях. Мангистауская область, Кызылординская область, Астана и Шымкент находились в отрицательной части промежуточного диапазона. Значения выше +1 стандартного отклонения наблюдались в Северо-Казахстанской области и области Ұлытау. Эти результаты характеризуют относительное положение регионов и не означают нормативно доказанный дефицит или избыток ресурсов.</w:t>
      </w:r>
    </w:p>
    <w:bookmarkEnd w:id="36"/>
    <w:bookmarkStart w:id="37" w:name="исследовательские-панельные-модели"/>
    <w:p>
      <w:pPr>
        <w:pStyle w:val="Heading3"/>
      </w:pPr>
      <w:r>
        <w:t xml:space="preserve">Исследовательские панельные модели</w:t>
      </w:r>
    </w:p>
    <w:p>
      <w:pPr>
        <w:pStyle w:val="FirstParagraph"/>
      </w:pPr>
      <w:r>
        <w:t xml:space="preserve">Обеспеченность врачами не имела статистически определенной связи ни с одним из четырех показателей использования услуг. Обеспеченность средним медицинским персоналом была положительно связана с числом обслуженных скорой медицинской помощью: β=11,97 на 1000 населения на единицу увеличения обеспеченности, 95% ДИ 1,47–22,48. Обеспеченность койками была обратно связана с занятостью койки: β=−2,81 дня, 95% ДИ −4,82–−0,80. Плановая мощность амбулаторно-поликлинических организаций была положительно связана с госпитализациями: β=0,03 на 100 жителей, 95% ДИ 0,01–0,06, и со средней длительностью пребывания: β=0,02 дня, 95% ДИ 0,00–0,03. Эти связи могут отражать различия базовой потребности, обратную причинность и неучтенные характеристики регионов.</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Ресурсный показатель</w:t>
            </w:r>
          </w:p>
        </w:tc>
        <w:tc>
          <w:tcPr/>
          <w:p>
            <w:pPr>
              <w:pStyle w:val="Compact"/>
              <w:jc w:val="left"/>
            </w:pPr>
            <w:r>
              <w:t xml:space="preserve">Госпитализации на 100 жителей, β (95% ДИ)</w:t>
            </w:r>
          </w:p>
        </w:tc>
        <w:tc>
          <w:tcPr/>
          <w:p>
            <w:pPr>
              <w:pStyle w:val="Compact"/>
              <w:jc w:val="left"/>
            </w:pPr>
            <w:r>
              <w:t xml:space="preserve">Скорая помощь на 1000 населения, β (95% ДИ)</w:t>
            </w:r>
          </w:p>
        </w:tc>
        <w:tc>
          <w:tcPr/>
          <w:p>
            <w:pPr>
              <w:pStyle w:val="Compact"/>
              <w:jc w:val="left"/>
            </w:pPr>
            <w:r>
              <w:t xml:space="preserve">Занятость койки, дней, β (95% ДИ)</w:t>
            </w:r>
          </w:p>
        </w:tc>
        <w:tc>
          <w:tcPr/>
          <w:p>
            <w:pPr>
              <w:pStyle w:val="Compact"/>
              <w:jc w:val="left"/>
            </w:pPr>
            <w:r>
              <w:t xml:space="preserve">Средняя длительность пребывания, дней, β (95% ДИ)</w:t>
            </w:r>
          </w:p>
        </w:tc>
      </w:tr>
      <w:tr>
        <w:tc>
          <w:tcPr/>
          <w:p>
            <w:pPr>
              <w:pStyle w:val="Compact"/>
              <w:jc w:val="left"/>
            </w:pPr>
            <w:r>
              <w:t xml:space="preserve">Врачи на 10 000 населения</w:t>
            </w:r>
          </w:p>
        </w:tc>
        <w:tc>
          <w:tcPr/>
          <w:p>
            <w:pPr>
              <w:pStyle w:val="Compact"/>
              <w:jc w:val="left"/>
            </w:pPr>
            <w:r>
              <w:t xml:space="preserve">−0,04 (−0,19; 0,11)</w:t>
            </w:r>
          </w:p>
        </w:tc>
        <w:tc>
          <w:tcPr/>
          <w:p>
            <w:pPr>
              <w:pStyle w:val="Compact"/>
              <w:jc w:val="left"/>
            </w:pPr>
            <w:r>
              <w:t xml:space="preserve">−6,73 (−19,76; 6,29)</w:t>
            </w:r>
          </w:p>
        </w:tc>
        <w:tc>
          <w:tcPr/>
          <w:p>
            <w:pPr>
              <w:pStyle w:val="Compact"/>
              <w:jc w:val="left"/>
            </w:pPr>
            <w:r>
              <w:t xml:space="preserve">−1,97 (−5,94; 2,00)</w:t>
            </w:r>
          </w:p>
        </w:tc>
        <w:tc>
          <w:tcPr/>
          <w:p>
            <w:pPr>
              <w:pStyle w:val="Compact"/>
              <w:jc w:val="left"/>
            </w:pPr>
            <w:r>
              <w:t xml:space="preserve">0,00 (−0,11; 0,12)</w:t>
            </w:r>
          </w:p>
        </w:tc>
      </w:tr>
      <w:tr>
        <w:tc>
          <w:tcPr/>
          <w:p>
            <w:pPr>
              <w:pStyle w:val="Compact"/>
              <w:jc w:val="left"/>
            </w:pPr>
            <w:r>
              <w:t xml:space="preserve">Средний медицинский персонал на 10 000 населения</w:t>
            </w:r>
          </w:p>
        </w:tc>
        <w:tc>
          <w:tcPr/>
          <w:p>
            <w:pPr>
              <w:pStyle w:val="Compact"/>
              <w:jc w:val="left"/>
            </w:pPr>
            <w:r>
              <w:t xml:space="preserve">0,01 (−0,09; 0,10)</w:t>
            </w:r>
          </w:p>
        </w:tc>
        <w:tc>
          <w:tcPr/>
          <w:p>
            <w:pPr>
              <w:pStyle w:val="Compact"/>
              <w:jc w:val="left"/>
            </w:pPr>
            <w:r>
              <w:t xml:space="preserve">11,97 (1,47; 22,48)</w:t>
            </w:r>
          </w:p>
        </w:tc>
        <w:tc>
          <w:tcPr/>
          <w:p>
            <w:pPr>
              <w:pStyle w:val="Compact"/>
              <w:jc w:val="left"/>
            </w:pPr>
            <w:r>
              <w:t xml:space="preserve">1,86 (−1,42; 5,14)</w:t>
            </w:r>
          </w:p>
        </w:tc>
        <w:tc>
          <w:tcPr/>
          <w:p>
            <w:pPr>
              <w:pStyle w:val="Compact"/>
              <w:jc w:val="left"/>
            </w:pPr>
            <w:r>
              <w:t xml:space="preserve">0,01 (−0,08; 0,10)</w:t>
            </w:r>
          </w:p>
        </w:tc>
      </w:tr>
      <w:tr>
        <w:tc>
          <w:tcPr/>
          <w:p>
            <w:pPr>
              <w:pStyle w:val="Compact"/>
              <w:jc w:val="left"/>
            </w:pPr>
            <w:r>
              <w:t xml:space="preserve">Койки на 10 000 населения</w:t>
            </w:r>
          </w:p>
        </w:tc>
        <w:tc>
          <w:tcPr/>
          <w:p>
            <w:pPr>
              <w:pStyle w:val="Compact"/>
              <w:jc w:val="left"/>
            </w:pPr>
            <w:r>
              <w:t xml:space="preserve">0,05 (−0,02; 0,12)</w:t>
            </w:r>
          </w:p>
        </w:tc>
        <w:tc>
          <w:tcPr/>
          <w:p>
            <w:pPr>
              <w:pStyle w:val="Compact"/>
              <w:jc w:val="left"/>
            </w:pPr>
            <w:r>
              <w:t xml:space="preserve">7,56 (−0,50; 15,62)</w:t>
            </w:r>
          </w:p>
        </w:tc>
        <w:tc>
          <w:tcPr/>
          <w:p>
            <w:pPr>
              <w:pStyle w:val="Compact"/>
              <w:jc w:val="left"/>
            </w:pPr>
            <w:r>
              <w:t xml:space="preserve">−2,81 (−4,82; −0,80)</w:t>
            </w:r>
          </w:p>
        </w:tc>
        <w:tc>
          <w:tcPr/>
          <w:p>
            <w:pPr>
              <w:pStyle w:val="Compact"/>
              <w:jc w:val="left"/>
            </w:pPr>
            <w:r>
              <w:t xml:space="preserve">0,04 (−0,04; 0,12)</w:t>
            </w:r>
          </w:p>
        </w:tc>
      </w:tr>
      <w:tr>
        <w:tc>
          <w:tcPr/>
          <w:p>
            <w:pPr>
              <w:pStyle w:val="Compact"/>
              <w:jc w:val="left"/>
            </w:pPr>
            <w:r>
              <w:t xml:space="preserve">Плановая мощность АПО на 10 000 населения</w:t>
            </w:r>
          </w:p>
        </w:tc>
        <w:tc>
          <w:tcPr/>
          <w:p>
            <w:pPr>
              <w:pStyle w:val="Compact"/>
              <w:jc w:val="left"/>
            </w:pPr>
            <w:r>
              <w:t xml:space="preserve">0,03 (0,01; 0,06)</w:t>
            </w:r>
          </w:p>
        </w:tc>
        <w:tc>
          <w:tcPr/>
          <w:p>
            <w:pPr>
              <w:pStyle w:val="Compact"/>
              <w:jc w:val="left"/>
            </w:pPr>
            <w:r>
              <w:t xml:space="preserve">−0,74 (−5,91; 4,43)</w:t>
            </w:r>
          </w:p>
        </w:tc>
        <w:tc>
          <w:tcPr/>
          <w:p>
            <w:pPr>
              <w:pStyle w:val="Compact"/>
              <w:jc w:val="left"/>
            </w:pPr>
            <w:r>
              <w:t xml:space="preserve">0,73 (−0,06; 1,52)</w:t>
            </w:r>
          </w:p>
        </w:tc>
        <w:tc>
          <w:tcPr/>
          <w:p>
            <w:pPr>
              <w:pStyle w:val="Compact"/>
              <w:jc w:val="left"/>
            </w:pPr>
            <w:r>
              <w:t xml:space="preserve">0,02 (0,00; 0,03)</w:t>
            </w:r>
          </w:p>
        </w:tc>
      </w:tr>
    </w:tbl>
    <w:p>
      <w:pPr>
        <w:pStyle w:val="BodyText"/>
      </w:pPr>
      <w:r>
        <w:rPr>
          <w:bCs/>
          <w:b/>
        </w:rPr>
        <w:t xml:space="preserve">Таблица 3.</w:t>
      </w:r>
      <w:r>
        <w:t xml:space="preserve"> </w:t>
      </w:r>
      <w:r>
        <w:t xml:space="preserve">Панельные модели связи ресурсных показателей с зарегистрированным использованием медицинской помощи, 2022–2025 годы. Каждая модель включает фиксированные эффекты регионов и календарных лет; стандартные ошибки кластеризованы по 20 регионам; n=80 регион-лет. Коэффициенты являются экологическими внут-региональными ассоциациями и не имеют причинной интерпретации.</w:t>
      </w:r>
    </w:p>
    <w:bookmarkEnd w:id="37"/>
    <w:bookmarkStart w:id="38" w:name="X3f17394f66f62e56c66f566923ff6cdbe4af1b5"/>
    <w:p>
      <w:pPr>
        <w:pStyle w:val="Heading3"/>
      </w:pPr>
      <w:r>
        <w:t xml:space="preserve">Сценарная проекция относительного положения регионов</w:t>
      </w:r>
    </w:p>
    <w:p>
      <w:pPr>
        <w:pStyle w:val="FirstParagraph"/>
      </w:pPr>
      <w:r>
        <w:t xml:space="preserve">При механическом продолжении линейных тенденций наиболее выраженное отрицательное смещение относительного показателя к 2028 году наблюдалось для Атырауской, Мангистауской и Западно-Казахстанской областей. Туркестанская и Атырауская области оставались ниже условной границы −1 стандартного отклонения. Мангистауская область переходила из промежуточного диапазона ниже этой границы. Напротив, относительное положение областей Жетісу, Павлодарской и Ұлытау смещалось вверх. Эти значения являются исследовательским сценарием и требуют проверки по фактическим данным последующих лет.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Регион</w:t>
            </w:r>
          </w:p>
        </w:tc>
        <w:tc>
          <w:tcPr/>
          <w:p>
            <w:pPr>
              <w:pStyle w:val="Compact"/>
              <w:jc w:val="left"/>
            </w:pPr>
            <w:r>
              <w:t xml:space="preserve">Относительный показатель, 2025</w:t>
            </w:r>
          </w:p>
        </w:tc>
        <w:tc>
          <w:tcPr/>
          <w:p>
            <w:pPr>
              <w:pStyle w:val="Compact"/>
              <w:jc w:val="left"/>
            </w:pPr>
            <w:r>
              <w:t xml:space="preserve">Сценарное значение, 2028</w:t>
            </w:r>
          </w:p>
        </w:tc>
        <w:tc>
          <w:tcPr/>
          <w:p>
            <w:pPr>
              <w:pStyle w:val="Compact"/>
              <w:jc w:val="left"/>
            </w:pPr>
            <w:r>
              <w:t xml:space="preserve">Изменение относительного положения</w:t>
            </w:r>
          </w:p>
        </w:tc>
      </w:tr>
      <w:tr>
        <w:tc>
          <w:tcPr/>
          <w:p>
            <w:pPr>
              <w:pStyle w:val="Compact"/>
              <w:jc w:val="left"/>
            </w:pPr>
            <w:r>
              <w:t xml:space="preserve">Атырауская область</w:t>
            </w:r>
          </w:p>
        </w:tc>
        <w:tc>
          <w:tcPr/>
          <w:p>
            <w:pPr>
              <w:pStyle w:val="Compact"/>
              <w:jc w:val="left"/>
            </w:pPr>
            <w:r>
              <w:t xml:space="preserve">−1,114</w:t>
            </w:r>
          </w:p>
        </w:tc>
        <w:tc>
          <w:tcPr/>
          <w:p>
            <w:pPr>
              <w:pStyle w:val="Compact"/>
              <w:jc w:val="left"/>
            </w:pPr>
            <w:r>
              <w:t xml:space="preserve">−1,778</w:t>
            </w:r>
          </w:p>
        </w:tc>
        <w:tc>
          <w:tcPr/>
          <w:p>
            <w:pPr>
              <w:pStyle w:val="Compact"/>
              <w:jc w:val="left"/>
            </w:pPr>
            <w:r>
              <w:t xml:space="preserve">−0,664</w:t>
            </w:r>
          </w:p>
        </w:tc>
      </w:tr>
      <w:tr>
        <w:tc>
          <w:tcPr/>
          <w:p>
            <w:pPr>
              <w:pStyle w:val="Compact"/>
              <w:jc w:val="left"/>
            </w:pPr>
            <w:r>
              <w:t xml:space="preserve">Туркестанская область</w:t>
            </w:r>
          </w:p>
        </w:tc>
        <w:tc>
          <w:tcPr/>
          <w:p>
            <w:pPr>
              <w:pStyle w:val="Compact"/>
              <w:jc w:val="left"/>
            </w:pPr>
            <w:r>
              <w:t xml:space="preserve">−1,365</w:t>
            </w:r>
          </w:p>
        </w:tc>
        <w:tc>
          <w:tcPr/>
          <w:p>
            <w:pPr>
              <w:pStyle w:val="Compact"/>
              <w:jc w:val="left"/>
            </w:pPr>
            <w:r>
              <w:t xml:space="preserve">−1,653</w:t>
            </w:r>
          </w:p>
        </w:tc>
        <w:tc>
          <w:tcPr/>
          <w:p>
            <w:pPr>
              <w:pStyle w:val="Compact"/>
              <w:jc w:val="left"/>
            </w:pPr>
            <w:r>
              <w:t xml:space="preserve">−0,288</w:t>
            </w:r>
          </w:p>
        </w:tc>
      </w:tr>
      <w:tr>
        <w:tc>
          <w:tcPr/>
          <w:p>
            <w:pPr>
              <w:pStyle w:val="Compact"/>
              <w:jc w:val="left"/>
            </w:pPr>
            <w:r>
              <w:t xml:space="preserve">Мангистауская область</w:t>
            </w:r>
          </w:p>
        </w:tc>
        <w:tc>
          <w:tcPr/>
          <w:p>
            <w:pPr>
              <w:pStyle w:val="Compact"/>
              <w:jc w:val="left"/>
            </w:pPr>
            <w:r>
              <w:t xml:space="preserve">−0,546</w:t>
            </w:r>
          </w:p>
        </w:tc>
        <w:tc>
          <w:tcPr/>
          <w:p>
            <w:pPr>
              <w:pStyle w:val="Compact"/>
              <w:jc w:val="left"/>
            </w:pPr>
            <w:r>
              <w:t xml:space="preserve">−1,115</w:t>
            </w:r>
          </w:p>
        </w:tc>
        <w:tc>
          <w:tcPr/>
          <w:p>
            <w:pPr>
              <w:pStyle w:val="Compact"/>
              <w:jc w:val="left"/>
            </w:pPr>
            <w:r>
              <w:t xml:space="preserve">−0,569</w:t>
            </w:r>
          </w:p>
        </w:tc>
      </w:tr>
      <w:tr>
        <w:tc>
          <w:tcPr/>
          <w:p>
            <w:pPr>
              <w:pStyle w:val="Compact"/>
              <w:jc w:val="left"/>
            </w:pPr>
            <w:r>
              <w:t xml:space="preserve">г. Астана</w:t>
            </w:r>
          </w:p>
        </w:tc>
        <w:tc>
          <w:tcPr/>
          <w:p>
            <w:pPr>
              <w:pStyle w:val="Compact"/>
              <w:jc w:val="left"/>
            </w:pPr>
            <w:r>
              <w:t xml:space="preserve">−0,775</w:t>
            </w:r>
          </w:p>
        </w:tc>
        <w:tc>
          <w:tcPr/>
          <w:p>
            <w:pPr>
              <w:pStyle w:val="Compact"/>
              <w:jc w:val="left"/>
            </w:pPr>
            <w:r>
              <w:t xml:space="preserve">−0,941</w:t>
            </w:r>
          </w:p>
        </w:tc>
        <w:tc>
          <w:tcPr/>
          <w:p>
            <w:pPr>
              <w:pStyle w:val="Compact"/>
              <w:jc w:val="left"/>
            </w:pPr>
            <w:r>
              <w:t xml:space="preserve">−0,166</w:t>
            </w:r>
          </w:p>
        </w:tc>
      </w:tr>
      <w:tr>
        <w:tc>
          <w:tcPr/>
          <w:p>
            <w:pPr>
              <w:pStyle w:val="Compact"/>
              <w:jc w:val="left"/>
            </w:pPr>
            <w:r>
              <w:t xml:space="preserve">Кызылординская область</w:t>
            </w:r>
          </w:p>
        </w:tc>
        <w:tc>
          <w:tcPr/>
          <w:p>
            <w:pPr>
              <w:pStyle w:val="Compact"/>
              <w:jc w:val="left"/>
            </w:pPr>
            <w:r>
              <w:t xml:space="preserve">−0,577</w:t>
            </w:r>
          </w:p>
        </w:tc>
        <w:tc>
          <w:tcPr/>
          <w:p>
            <w:pPr>
              <w:pStyle w:val="Compact"/>
              <w:jc w:val="left"/>
            </w:pPr>
            <w:r>
              <w:t xml:space="preserve">−0,896</w:t>
            </w:r>
          </w:p>
        </w:tc>
        <w:tc>
          <w:tcPr/>
          <w:p>
            <w:pPr>
              <w:pStyle w:val="Compact"/>
              <w:jc w:val="left"/>
            </w:pPr>
            <w:r>
              <w:t xml:space="preserve">−0,319</w:t>
            </w:r>
          </w:p>
        </w:tc>
      </w:tr>
      <w:tr>
        <w:tc>
          <w:tcPr/>
          <w:p>
            <w:pPr>
              <w:pStyle w:val="Compact"/>
              <w:jc w:val="left"/>
            </w:pPr>
            <w:r>
              <w:t xml:space="preserve">г. Шымкент</w:t>
            </w:r>
          </w:p>
        </w:tc>
        <w:tc>
          <w:tcPr/>
          <w:p>
            <w:pPr>
              <w:pStyle w:val="Compact"/>
              <w:jc w:val="left"/>
            </w:pPr>
            <w:r>
              <w:t xml:space="preserve">−0,870</w:t>
            </w:r>
          </w:p>
        </w:tc>
        <w:tc>
          <w:tcPr/>
          <w:p>
            <w:pPr>
              <w:pStyle w:val="Compact"/>
              <w:jc w:val="left"/>
            </w:pPr>
            <w:r>
              <w:t xml:space="preserve">−0,590</w:t>
            </w:r>
          </w:p>
        </w:tc>
        <w:tc>
          <w:tcPr/>
          <w:p>
            <w:pPr>
              <w:pStyle w:val="Compact"/>
              <w:jc w:val="left"/>
            </w:pPr>
            <w:r>
              <w:t xml:space="preserve">+0,280</w:t>
            </w:r>
          </w:p>
        </w:tc>
      </w:tr>
      <w:tr>
        <w:tc>
          <w:tcPr/>
          <w:p>
            <w:pPr>
              <w:pStyle w:val="Compact"/>
              <w:jc w:val="left"/>
            </w:pPr>
            <w:r>
              <w:t xml:space="preserve">Западно-Казахстанская область</w:t>
            </w:r>
          </w:p>
        </w:tc>
        <w:tc>
          <w:tcPr/>
          <w:p>
            <w:pPr>
              <w:pStyle w:val="Compact"/>
              <w:jc w:val="left"/>
            </w:pPr>
            <w:r>
              <w:t xml:space="preserve">0,141</w:t>
            </w:r>
          </w:p>
        </w:tc>
        <w:tc>
          <w:tcPr/>
          <w:p>
            <w:pPr>
              <w:pStyle w:val="Compact"/>
              <w:jc w:val="left"/>
            </w:pPr>
            <w:r>
              <w:t xml:space="preserve">−0,398</w:t>
            </w:r>
          </w:p>
        </w:tc>
        <w:tc>
          <w:tcPr/>
          <w:p>
            <w:pPr>
              <w:pStyle w:val="Compact"/>
              <w:jc w:val="left"/>
            </w:pPr>
            <w:r>
              <w:t xml:space="preserve">−0,539</w:t>
            </w:r>
          </w:p>
        </w:tc>
      </w:tr>
      <w:tr>
        <w:tc>
          <w:tcPr/>
          <w:p>
            <w:pPr>
              <w:pStyle w:val="Compact"/>
              <w:jc w:val="left"/>
            </w:pPr>
            <w:r>
              <w:t xml:space="preserve">Актюбинская область</w:t>
            </w:r>
          </w:p>
        </w:tc>
        <w:tc>
          <w:tcPr/>
          <w:p>
            <w:pPr>
              <w:pStyle w:val="Compact"/>
              <w:jc w:val="left"/>
            </w:pPr>
            <w:r>
              <w:t xml:space="preserve">−0,050</w:t>
            </w:r>
          </w:p>
        </w:tc>
        <w:tc>
          <w:tcPr/>
          <w:p>
            <w:pPr>
              <w:pStyle w:val="Compact"/>
              <w:jc w:val="left"/>
            </w:pPr>
            <w:r>
              <w:t xml:space="preserve">−0,314</w:t>
            </w:r>
          </w:p>
        </w:tc>
        <w:tc>
          <w:tcPr/>
          <w:p>
            <w:pPr>
              <w:pStyle w:val="Compact"/>
              <w:jc w:val="left"/>
            </w:pPr>
            <w:r>
              <w:t xml:space="preserve">−0,264</w:t>
            </w:r>
          </w:p>
        </w:tc>
      </w:tr>
      <w:tr>
        <w:tc>
          <w:tcPr/>
          <w:p>
            <w:pPr>
              <w:pStyle w:val="Compact"/>
              <w:jc w:val="left"/>
            </w:pPr>
            <w:r>
              <w:t xml:space="preserve">Алматинская область</w:t>
            </w:r>
          </w:p>
        </w:tc>
        <w:tc>
          <w:tcPr/>
          <w:p>
            <w:pPr>
              <w:pStyle w:val="Compact"/>
              <w:jc w:val="left"/>
            </w:pPr>
            <w:r>
              <w:t xml:space="preserve">−0,356</w:t>
            </w:r>
          </w:p>
        </w:tc>
        <w:tc>
          <w:tcPr/>
          <w:p>
            <w:pPr>
              <w:pStyle w:val="Compact"/>
              <w:jc w:val="left"/>
            </w:pPr>
            <w:r>
              <w:t xml:space="preserve">−0,215</w:t>
            </w:r>
          </w:p>
        </w:tc>
        <w:tc>
          <w:tcPr/>
          <w:p>
            <w:pPr>
              <w:pStyle w:val="Compact"/>
              <w:jc w:val="left"/>
            </w:pPr>
            <w:r>
              <w:t xml:space="preserve">+0,141</w:t>
            </w:r>
          </w:p>
        </w:tc>
      </w:tr>
      <w:tr>
        <w:tc>
          <w:tcPr/>
          <w:p>
            <w:pPr>
              <w:pStyle w:val="Compact"/>
              <w:jc w:val="left"/>
            </w:pPr>
            <w:r>
              <w:t xml:space="preserve">г. Алматы</w:t>
            </w:r>
          </w:p>
        </w:tc>
        <w:tc>
          <w:tcPr/>
          <w:p>
            <w:pPr>
              <w:pStyle w:val="Compact"/>
              <w:jc w:val="left"/>
            </w:pPr>
            <w:r>
              <w:t xml:space="preserve">−0,329</w:t>
            </w:r>
          </w:p>
        </w:tc>
        <w:tc>
          <w:tcPr/>
          <w:p>
            <w:pPr>
              <w:pStyle w:val="Compact"/>
              <w:jc w:val="left"/>
            </w:pPr>
            <w:r>
              <w:t xml:space="preserve">−0,210</w:t>
            </w:r>
          </w:p>
        </w:tc>
        <w:tc>
          <w:tcPr/>
          <w:p>
            <w:pPr>
              <w:pStyle w:val="Compact"/>
              <w:jc w:val="left"/>
            </w:pPr>
            <w:r>
              <w:t xml:space="preserve">+0,119</w:t>
            </w:r>
          </w:p>
        </w:tc>
      </w:tr>
      <w:tr>
        <w:tc>
          <w:tcPr/>
          <w:p>
            <w:pPr>
              <w:pStyle w:val="Compact"/>
              <w:jc w:val="left"/>
            </w:pPr>
            <w:r>
              <w:t xml:space="preserve">Жамбылская область</w:t>
            </w:r>
          </w:p>
        </w:tc>
        <w:tc>
          <w:tcPr/>
          <w:p>
            <w:pPr>
              <w:pStyle w:val="Compact"/>
              <w:jc w:val="left"/>
            </w:pPr>
            <w:r>
              <w:t xml:space="preserve">−0,092</w:t>
            </w:r>
          </w:p>
        </w:tc>
        <w:tc>
          <w:tcPr/>
          <w:p>
            <w:pPr>
              <w:pStyle w:val="Compact"/>
              <w:jc w:val="left"/>
            </w:pPr>
            <w:r>
              <w:t xml:space="preserve">0,077</w:t>
            </w:r>
          </w:p>
        </w:tc>
        <w:tc>
          <w:tcPr/>
          <w:p>
            <w:pPr>
              <w:pStyle w:val="Compact"/>
              <w:jc w:val="left"/>
            </w:pPr>
            <w:r>
              <w:t xml:space="preserve">+0,169</w:t>
            </w:r>
          </w:p>
        </w:tc>
      </w:tr>
      <w:tr>
        <w:tc>
          <w:tcPr/>
          <w:p>
            <w:pPr>
              <w:pStyle w:val="Compact"/>
              <w:jc w:val="left"/>
            </w:pPr>
            <w:r>
              <w:t xml:space="preserve">область Жетісу</w:t>
            </w:r>
          </w:p>
        </w:tc>
        <w:tc>
          <w:tcPr/>
          <w:p>
            <w:pPr>
              <w:pStyle w:val="Compact"/>
              <w:jc w:val="left"/>
            </w:pPr>
            <w:r>
              <w:t xml:space="preserve">−0,482</w:t>
            </w:r>
          </w:p>
        </w:tc>
        <w:tc>
          <w:tcPr/>
          <w:p>
            <w:pPr>
              <w:pStyle w:val="Compact"/>
              <w:jc w:val="left"/>
            </w:pPr>
            <w:r>
              <w:t xml:space="preserve">0,177</w:t>
            </w:r>
          </w:p>
        </w:tc>
        <w:tc>
          <w:tcPr/>
          <w:p>
            <w:pPr>
              <w:pStyle w:val="Compact"/>
              <w:jc w:val="left"/>
            </w:pPr>
            <w:r>
              <w:t xml:space="preserve">+0,659</w:t>
            </w:r>
          </w:p>
        </w:tc>
      </w:tr>
      <w:tr>
        <w:tc>
          <w:tcPr/>
          <w:p>
            <w:pPr>
              <w:pStyle w:val="Compact"/>
              <w:jc w:val="left"/>
            </w:pPr>
            <w:r>
              <w:t xml:space="preserve">Восточно-Казахстанская область</w:t>
            </w:r>
          </w:p>
        </w:tc>
        <w:tc>
          <w:tcPr/>
          <w:p>
            <w:pPr>
              <w:pStyle w:val="Compact"/>
              <w:jc w:val="left"/>
            </w:pPr>
            <w:r>
              <w:t xml:space="preserve">0,876</w:t>
            </w:r>
          </w:p>
        </w:tc>
        <w:tc>
          <w:tcPr/>
          <w:p>
            <w:pPr>
              <w:pStyle w:val="Compact"/>
              <w:jc w:val="left"/>
            </w:pPr>
            <w:r>
              <w:t xml:space="preserve">0,461</w:t>
            </w:r>
          </w:p>
        </w:tc>
        <w:tc>
          <w:tcPr/>
          <w:p>
            <w:pPr>
              <w:pStyle w:val="Compact"/>
              <w:jc w:val="left"/>
            </w:pPr>
            <w:r>
              <w:t xml:space="preserve">−0,415</w:t>
            </w:r>
          </w:p>
        </w:tc>
      </w:tr>
      <w:tr>
        <w:tc>
          <w:tcPr/>
          <w:p>
            <w:pPr>
              <w:pStyle w:val="Compact"/>
              <w:jc w:val="left"/>
            </w:pPr>
            <w:r>
              <w:t xml:space="preserve">Костанайская область</w:t>
            </w:r>
          </w:p>
        </w:tc>
        <w:tc>
          <w:tcPr/>
          <w:p>
            <w:pPr>
              <w:pStyle w:val="Compact"/>
              <w:jc w:val="left"/>
            </w:pPr>
            <w:r>
              <w:t xml:space="preserve">0,588</w:t>
            </w:r>
          </w:p>
        </w:tc>
        <w:tc>
          <w:tcPr/>
          <w:p>
            <w:pPr>
              <w:pStyle w:val="Compact"/>
              <w:jc w:val="left"/>
            </w:pPr>
            <w:r>
              <w:t xml:space="preserve">0,602</w:t>
            </w:r>
          </w:p>
        </w:tc>
        <w:tc>
          <w:tcPr/>
          <w:p>
            <w:pPr>
              <w:pStyle w:val="Compact"/>
              <w:jc w:val="left"/>
            </w:pPr>
            <w:r>
              <w:t xml:space="preserve">+0,014</w:t>
            </w:r>
          </w:p>
        </w:tc>
      </w:tr>
      <w:tr>
        <w:tc>
          <w:tcPr/>
          <w:p>
            <w:pPr>
              <w:pStyle w:val="Compact"/>
              <w:jc w:val="left"/>
            </w:pPr>
            <w:r>
              <w:t xml:space="preserve">Карагандинская область</w:t>
            </w:r>
          </w:p>
        </w:tc>
        <w:tc>
          <w:tcPr/>
          <w:p>
            <w:pPr>
              <w:pStyle w:val="Compact"/>
              <w:jc w:val="left"/>
            </w:pPr>
            <w:r>
              <w:t xml:space="preserve">0,689</w:t>
            </w:r>
          </w:p>
        </w:tc>
        <w:tc>
          <w:tcPr/>
          <w:p>
            <w:pPr>
              <w:pStyle w:val="Compact"/>
              <w:jc w:val="left"/>
            </w:pPr>
            <w:r>
              <w:t xml:space="preserve">0,707</w:t>
            </w:r>
          </w:p>
        </w:tc>
        <w:tc>
          <w:tcPr/>
          <w:p>
            <w:pPr>
              <w:pStyle w:val="Compact"/>
              <w:jc w:val="left"/>
            </w:pPr>
            <w:r>
              <w:t xml:space="preserve">+0,018</w:t>
            </w:r>
          </w:p>
        </w:tc>
      </w:tr>
      <w:tr>
        <w:tc>
          <w:tcPr/>
          <w:p>
            <w:pPr>
              <w:pStyle w:val="Compact"/>
              <w:jc w:val="left"/>
            </w:pPr>
            <w:r>
              <w:t xml:space="preserve">область Абай</w:t>
            </w:r>
          </w:p>
        </w:tc>
        <w:tc>
          <w:tcPr/>
          <w:p>
            <w:pPr>
              <w:pStyle w:val="Compact"/>
              <w:jc w:val="left"/>
            </w:pPr>
            <w:r>
              <w:t xml:space="preserve">0,682</w:t>
            </w:r>
          </w:p>
        </w:tc>
        <w:tc>
          <w:tcPr/>
          <w:p>
            <w:pPr>
              <w:pStyle w:val="Compact"/>
              <w:jc w:val="left"/>
            </w:pPr>
            <w:r>
              <w:t xml:space="preserve">0,800</w:t>
            </w:r>
          </w:p>
        </w:tc>
        <w:tc>
          <w:tcPr/>
          <w:p>
            <w:pPr>
              <w:pStyle w:val="Compact"/>
              <w:jc w:val="left"/>
            </w:pPr>
            <w:r>
              <w:t xml:space="preserve">+0,118</w:t>
            </w:r>
          </w:p>
        </w:tc>
      </w:tr>
      <w:tr>
        <w:tc>
          <w:tcPr/>
          <w:p>
            <w:pPr>
              <w:pStyle w:val="Compact"/>
              <w:jc w:val="left"/>
            </w:pPr>
            <w:r>
              <w:t xml:space="preserve">Акмолинская область</w:t>
            </w:r>
          </w:p>
        </w:tc>
        <w:tc>
          <w:tcPr/>
          <w:p>
            <w:pPr>
              <w:pStyle w:val="Compact"/>
              <w:jc w:val="left"/>
            </w:pPr>
            <w:r>
              <w:t xml:space="preserve">0,765</w:t>
            </w:r>
          </w:p>
        </w:tc>
        <w:tc>
          <w:tcPr/>
          <w:p>
            <w:pPr>
              <w:pStyle w:val="Compact"/>
              <w:jc w:val="left"/>
            </w:pPr>
            <w:r>
              <w:t xml:space="preserve">0,903</w:t>
            </w:r>
          </w:p>
        </w:tc>
        <w:tc>
          <w:tcPr/>
          <w:p>
            <w:pPr>
              <w:pStyle w:val="Compact"/>
              <w:jc w:val="left"/>
            </w:pPr>
            <w:r>
              <w:t xml:space="preserve">+0,138</w:t>
            </w:r>
          </w:p>
        </w:tc>
      </w:tr>
      <w:tr>
        <w:tc>
          <w:tcPr/>
          <w:p>
            <w:pPr>
              <w:pStyle w:val="Compact"/>
              <w:jc w:val="left"/>
            </w:pPr>
            <w:r>
              <w:t xml:space="preserve">Павлодарская область</w:t>
            </w:r>
          </w:p>
        </w:tc>
        <w:tc>
          <w:tcPr/>
          <w:p>
            <w:pPr>
              <w:pStyle w:val="Compact"/>
              <w:jc w:val="left"/>
            </w:pPr>
            <w:r>
              <w:t xml:space="preserve">0,636</w:t>
            </w:r>
          </w:p>
        </w:tc>
        <w:tc>
          <w:tcPr/>
          <w:p>
            <w:pPr>
              <w:pStyle w:val="Compact"/>
              <w:jc w:val="left"/>
            </w:pPr>
            <w:r>
              <w:t xml:space="preserve">0,972</w:t>
            </w:r>
          </w:p>
        </w:tc>
        <w:tc>
          <w:tcPr/>
          <w:p>
            <w:pPr>
              <w:pStyle w:val="Compact"/>
              <w:jc w:val="left"/>
            </w:pPr>
            <w:r>
              <w:t xml:space="preserve">+0,336</w:t>
            </w:r>
          </w:p>
        </w:tc>
      </w:tr>
      <w:tr>
        <w:tc>
          <w:tcPr/>
          <w:p>
            <w:pPr>
              <w:pStyle w:val="Compact"/>
              <w:jc w:val="left"/>
            </w:pPr>
            <w:r>
              <w:t xml:space="preserve">Северо-Казахстанская область</w:t>
            </w:r>
          </w:p>
        </w:tc>
        <w:tc>
          <w:tcPr/>
          <w:p>
            <w:pPr>
              <w:pStyle w:val="Compact"/>
              <w:jc w:val="left"/>
            </w:pPr>
            <w:r>
              <w:t xml:space="preserve">1,084</w:t>
            </w:r>
          </w:p>
        </w:tc>
        <w:tc>
          <w:tcPr/>
          <w:p>
            <w:pPr>
              <w:pStyle w:val="Compact"/>
              <w:jc w:val="left"/>
            </w:pPr>
            <w:r>
              <w:t xml:space="preserve">1,052</w:t>
            </w:r>
          </w:p>
        </w:tc>
        <w:tc>
          <w:tcPr/>
          <w:p>
            <w:pPr>
              <w:pStyle w:val="Compact"/>
              <w:jc w:val="left"/>
            </w:pPr>
            <w:r>
              <w:t xml:space="preserve">−0,032</w:t>
            </w:r>
          </w:p>
        </w:tc>
      </w:tr>
      <w:tr>
        <w:tc>
          <w:tcPr/>
          <w:p>
            <w:pPr>
              <w:pStyle w:val="Compact"/>
              <w:jc w:val="left"/>
            </w:pPr>
            <w:r>
              <w:t xml:space="preserve">область Ұлытау</w:t>
            </w:r>
          </w:p>
        </w:tc>
        <w:tc>
          <w:tcPr/>
          <w:p>
            <w:pPr>
              <w:pStyle w:val="Compact"/>
              <w:jc w:val="left"/>
            </w:pPr>
            <w:r>
              <w:t xml:space="preserve">1,095</w:t>
            </w:r>
          </w:p>
        </w:tc>
        <w:tc>
          <w:tcPr/>
          <w:p>
            <w:pPr>
              <w:pStyle w:val="Compact"/>
              <w:jc w:val="left"/>
            </w:pPr>
            <w:r>
              <w:t xml:space="preserve">2,251</w:t>
            </w:r>
          </w:p>
        </w:tc>
        <w:tc>
          <w:tcPr/>
          <w:p>
            <w:pPr>
              <w:pStyle w:val="Compact"/>
              <w:jc w:val="left"/>
            </w:pPr>
            <w:r>
              <w:t xml:space="preserve">+1,156</w:t>
            </w:r>
          </w:p>
        </w:tc>
      </w:tr>
    </w:tbl>
    <w:p>
      <w:pPr>
        <w:pStyle w:val="BodyText"/>
      </w:pPr>
      <w:r>
        <w:rPr>
          <w:bCs/>
          <w:b/>
        </w:rPr>
        <w:t xml:space="preserve">Таблица 4.</w:t>
      </w:r>
      <w:r>
        <w:t xml:space="preserve"> </w:t>
      </w:r>
      <w:r>
        <w:t xml:space="preserve">Исследовательская сценарная проекция стандартизированного относительного соответствия ресурсов и зарегистрированной нагрузки. Значения стандартизированы внутри межрегионального распределения каждого года; изменение отражает относительное перемещение региона, а не абсолютное изменение нормативного дефицита.</w:t>
      </w:r>
    </w:p>
    <w:bookmarkEnd w:id="38"/>
    <w:bookmarkEnd w:id="39"/>
    <w:bookmarkStart w:id="46" w:name="обсуждение"/>
    <w:p>
      <w:pPr>
        <w:pStyle w:val="Heading2"/>
      </w:pPr>
      <w:r>
        <w:t xml:space="preserve">Обсуждение</w:t>
      </w:r>
    </w:p>
    <w:bookmarkStart w:id="40" w:name="основные-результаты"/>
    <w:p>
      <w:pPr>
        <w:pStyle w:val="Heading3"/>
      </w:pPr>
      <w:r>
        <w:t xml:space="preserve">Основные результаты</w:t>
      </w:r>
    </w:p>
    <w:p>
      <w:pPr>
        <w:pStyle w:val="FirstParagraph"/>
      </w:pPr>
      <w:r>
        <w:t xml:space="preserve">Исследование выявило сочетание умеренного роста обеспеченности врачами со снижением обеспеченности средним медицинским персоналом и койками и увеличением зарегистрированного использования экстренной и стационарной помощи. Такая конфигурация не доказывает системную перегрузку, однако указывает на более интенсивное использование ряда компонентов системы и на необходимость оценки того, сопровождается ли сокращение коечного фонда достаточным усилением амбулаторной помощи, дневных стационаров, сестринских служб и послевыписного наблюдения.</w:t>
      </w:r>
    </w:p>
    <w:p>
      <w:pPr>
        <w:pStyle w:val="BodyText"/>
      </w:pPr>
      <w:r>
        <w:t xml:space="preserve">Межрегиональные различия сохранялись по всем анализируемым показателям. Особенно выраженной оставалась вариабельность обеспеченности врачами и плановой амбулаторной мощности. Снижение вариабельности занятости койки и скорой медицинской помощи могло отражать сближение регионов по интенсивности использования, но не позволяет определить, происходило ли это за счет улучшения доступа или распространения высокой нагрузки.</w:t>
      </w:r>
    </w:p>
    <w:bookmarkEnd w:id="40"/>
    <w:bookmarkStart w:id="41" w:name="интерпретация-относительного-индекса"/>
    <w:p>
      <w:pPr>
        <w:pStyle w:val="Heading3"/>
      </w:pPr>
      <w:r>
        <w:t xml:space="preserve">Интерпретация относительного индекса</w:t>
      </w:r>
    </w:p>
    <w:p>
      <w:pPr>
        <w:pStyle w:val="FirstParagraph"/>
      </w:pPr>
      <w:r>
        <w:t xml:space="preserve">Стандартизированный показатель соответствия ресурсов и зарегистрированной нагрузки объединяет несколько измерений и облегчает первичную идентификацию территорий для углубленного анализа. Однако он не измеряет истинную клиническую потребность населения, неудовлетворенный спрос или нормативную достаточность ресурсов. Низкое использование услуг может быть следствием как меньшей потребности, так и ограниченной доступности, а высокое использование — как высокого бремени заболеваний, так и лучшей доступности помощи или особенностей маршрутизации.</w:t>
      </w:r>
    </w:p>
    <w:p>
      <w:pPr>
        <w:pStyle w:val="BodyText"/>
      </w:pPr>
      <w:r>
        <w:t xml:space="preserve">Поэтому отрицательные значения в Туркестанской и Атырауской областях следует понимать как сигнал для дополнительной проверки, включающей возрастную структуру, заболеваемость, сельское население, транспортную доступность, миграцию пациентов, распределение услуг между государственным и частным секторами и различия в полноте административной регистрации. Положительные значения в Северо-Казахстанской области и области Ұлытау также не являются свидетельством оптимальности или избытка ресурсов.</w:t>
      </w:r>
    </w:p>
    <w:bookmarkEnd w:id="41"/>
    <w:bookmarkStart w:id="42" w:name="панельные-ассоциации"/>
    <w:p>
      <w:pPr>
        <w:pStyle w:val="Heading3"/>
      </w:pPr>
      <w:r>
        <w:t xml:space="preserve">Панельные ассоциации</w:t>
      </w:r>
    </w:p>
    <w:p>
      <w:pPr>
        <w:pStyle w:val="FirstParagraph"/>
      </w:pPr>
      <w:r>
        <w:t xml:space="preserve">Отсутствие статистически определенной связи обеспеченности врачами с госпитализациями и скорой помощью не означает отсутствия роли врачебных кадров. В моделях с фиксированными эффектами оцениваются только краткосрочные изменения внутри регионов, тогда как большая часть различий в кадровой обеспеченности является устойчивой во времени. Кроме того, четыре года наблюдения ограничивают вариативность и статистическую точность.</w:t>
      </w:r>
    </w:p>
    <w:p>
      <w:pPr>
        <w:pStyle w:val="BodyText"/>
      </w:pPr>
      <w:r>
        <w:t xml:space="preserve">Обратная связь обеспеченности койками с занятостью койки соответствует арифметической и организационной логике: при большем числе коек одинаковый объем стационарной помощи распределяется по большей мощности. Положительная связь амбулаторной мощности с госпитализациями не должна трактоваться как неблагоприятный эффект амбулаторной инфраструктуры. Она может отражать совместный ответ системы на более высокую региональную потребность, концентрацию медицинских организаций или обратную причинность.</w:t>
      </w:r>
    </w:p>
    <w:bookmarkEnd w:id="42"/>
    <w:bookmarkStart w:id="43" w:name="сценарная-проекция-1"/>
    <w:p>
      <w:pPr>
        <w:pStyle w:val="Heading3"/>
      </w:pPr>
      <w:r>
        <w:t xml:space="preserve">Сценарная проекция</w:t>
      </w:r>
    </w:p>
    <w:p>
      <w:pPr>
        <w:pStyle w:val="FirstParagraph"/>
      </w:pPr>
      <w:r>
        <w:t xml:space="preserve">Проекция до 2028 года основана на продолжении четырехлетних линейных тенденций и поэтому не учитывает реформы финансирования, ввод новых объектов, изменения кадровой политики, миграцию, эпидемиологические события и нелинейные изменения спроса. Ее ценность состоит не в точном предсказании, а в обозначении регионов, где неблагоприятное относительное положение может сохраняться при отсутствии изменения недавних тенденций.</w:t>
      </w:r>
    </w:p>
    <w:p>
      <w:pPr>
        <w:pStyle w:val="BodyText"/>
      </w:pPr>
      <w:r>
        <w:t xml:space="preserve">Результаты сценария поддерживают приоритет углубленного анализа Атырауской, Туркестанской и Мангистауской областей. Для управленческих решений необходимы отдельные расчеты потребности по профилям помощи, возрасту населения, заболеваемости, расстоянию до организаций, кадровым вакансиям, фактической мощности частного сектора и межрегиональным потокам пациентов.</w:t>
      </w:r>
    </w:p>
    <w:bookmarkEnd w:id="43"/>
    <w:bookmarkStart w:id="44" w:name="практические-последствия"/>
    <w:p>
      <w:pPr>
        <w:pStyle w:val="Heading3"/>
      </w:pPr>
      <w:r>
        <w:t xml:space="preserve">Практические последствия</w:t>
      </w:r>
    </w:p>
    <w:p>
      <w:pPr>
        <w:pStyle w:val="FirstParagraph"/>
      </w:pPr>
      <w:r>
        <w:t xml:space="preserve">Региональное планирование не должно основываться на одном нормативе врачей или коек. Более информативным является совместный анализ кадровой структуры, амбулаторной доступности, стационарной мощности, экстренной нагрузки и результатов оказания помощи. В регионах с относительно низким соответствием ресурсов зарегистрированной нагрузке возможные меры могут включать укрепление первичной медико-санитарной помощи, развитие сестринских и междисциплинарных команд, пересмотр маршрутизации экстренных пациентов, анализ структуры коек и согласование капитальных и кадровых решений с прогнозируемой демографической и эпидемиологической потребностью.</w:t>
      </w:r>
    </w:p>
    <w:bookmarkEnd w:id="44"/>
    <w:bookmarkStart w:id="45" w:name="сильные-стороны-и-ограничения"/>
    <w:p>
      <w:pPr>
        <w:pStyle w:val="Heading3"/>
      </w:pPr>
      <w:r>
        <w:t xml:space="preserve">Сильные стороны и ограничения</w:t>
      </w:r>
    </w:p>
    <w:p>
      <w:pPr>
        <w:pStyle w:val="FirstParagraph"/>
      </w:pPr>
      <w:r>
        <w:t xml:space="preserve">К сильным сторонам относятся охват всех административных регионов Казахстана, использование официальных статистических источников, разделение национальных агрегированных и региональных показателей, оценка межрегиональной вариабельности и применение панельного подхода.</w:t>
      </w:r>
    </w:p>
    <w:p>
      <w:pPr>
        <w:pStyle w:val="BodyText"/>
      </w:pPr>
      <w:r>
        <w:t xml:space="preserve">Исследование имеет существенные ограничения. Во-первых, экологический дизайн не допускает выводов об индивидуальных пациентах и причинных эффектах. Во-вторых, показатели использования услуг не измеряют неудовлетворенную потребность и могут зависеть от доступности и особенностей учета. В-третьих, не учитывались возрастная структура, бремя заболеваний, сельское расселение, транспортная доступность, качество помощи, межрегиональные потоки пациентов и полный объем деятельности частного сектора. В-четвертых, компоненты композитных индексов частично коррелируют, а равные веса являются аналитическим допущением; индекс требует внешней валидации и анализа чувствительности на исходном региональном наборе данных. В-пятых, панель включает только четыре года и 20 кластеров, поэтому доверительные интервалы могут недооценивать неопределенность. В-шестых, сценарная проекция не является валидированным прогнозом, не содержит надежных региональных прогнозных интервалов и отражает только механическое продолжение недавних тенденций.</w:t>
      </w:r>
    </w:p>
    <w:bookmarkEnd w:id="45"/>
    <w:bookmarkEnd w:id="46"/>
    <w:bookmarkStart w:id="47" w:name="заключение"/>
    <w:p>
      <w:pPr>
        <w:pStyle w:val="Heading2"/>
      </w:pPr>
      <w:r>
        <w:t xml:space="preserve">Заключение</w:t>
      </w:r>
    </w:p>
    <w:p>
      <w:pPr>
        <w:pStyle w:val="FirstParagraph"/>
      </w:pPr>
      <w:r>
        <w:t xml:space="preserve">В 2022–2025 годах система здравоохранения Казахстана характеризовалась умеренным ростом обеспеченности врачами, снижением обеспеченности средним медицинским персоналом и койками и увеличением зарегистрированного использования скорой и стационарной помощи. Межрегиональные различия сохранялись, а исследовательский индекс относительного соответствия ресурсов и нагрузки выделил Туркестанскую и Атыраускую области как территории с наиболее отрицательным относительным положением в 2025 году.</w:t>
      </w:r>
    </w:p>
    <w:p>
      <w:pPr>
        <w:pStyle w:val="BodyText"/>
      </w:pPr>
      <w:r>
        <w:t xml:space="preserve">Полученные результаты не являются нормативной оценкой дефицита и не должны использоваться как рейтинг регионов. Они формируют основу для углубленного планирования с учетом демографии, заболеваемости, географической доступности, качества помощи и роли частного сектора. Сценарные значения до 2028 года следует рассматривать исключительно как сигнал для мониторинга и проверки по последующим фактическим данным.</w:t>
      </w:r>
    </w:p>
    <w:bookmarkEnd w:id="47"/>
    <w:bookmarkStart w:id="48" w:name="декларации"/>
    <w:p>
      <w:pPr>
        <w:pStyle w:val="Heading2"/>
      </w:pPr>
      <w:r>
        <w:t xml:space="preserve">Декларации</w:t>
      </w:r>
    </w:p>
    <w:p>
      <w:pPr>
        <w:pStyle w:val="FirstParagraph"/>
      </w:pPr>
      <w:r>
        <w:rPr>
          <w:bCs/>
          <w:b/>
        </w:rPr>
        <w:t xml:space="preserve">Вклад авторов:</w:t>
      </w:r>
      <w:r>
        <w:t xml:space="preserve"> </w:t>
      </w:r>
      <w:r>
        <w:t xml:space="preserve">[внести вклад каждого автора в соответствии с CRediT].</w:t>
      </w:r>
    </w:p>
    <w:p>
      <w:pPr>
        <w:pStyle w:val="BodyText"/>
      </w:pPr>
      <w:r>
        <w:rPr>
          <w:bCs/>
          <w:b/>
        </w:rPr>
        <w:t xml:space="preserve">Финансирование:</w:t>
      </w:r>
      <w:r>
        <w:t xml:space="preserve"> </w:t>
      </w:r>
      <w:r>
        <w:t xml:space="preserve">[указать официальный источник и номер проекта либо написать, что отдельное финансирование не предоставлялось].</w:t>
      </w:r>
    </w:p>
    <w:p>
      <w:pPr>
        <w:pStyle w:val="BodyText"/>
      </w:pPr>
      <w:r>
        <w:rPr>
          <w:bCs/>
          <w:b/>
        </w:rPr>
        <w:t xml:space="preserve">Конфликт интересов:</w:t>
      </w:r>
      <w:r>
        <w:t xml:space="preserve"> </w:t>
      </w:r>
      <w:r>
        <w:t xml:space="preserve">[внести подтвержденное авторами заявление].</w:t>
      </w:r>
    </w:p>
    <w:p>
      <w:pPr>
        <w:pStyle w:val="BodyText"/>
      </w:pPr>
      <w:r>
        <w:rPr>
          <w:bCs/>
          <w:b/>
        </w:rPr>
        <w:t xml:space="preserve">Доступность данных:</w:t>
      </w:r>
      <w:r>
        <w:t xml:space="preserve"> </w:t>
      </w:r>
      <w:r>
        <w:t xml:space="preserve">Исходные агрегированные данные доступны в официальных статистических сборниках Министерства здравоохранения Республики Казахстан, указанных в списке литературы. Производные показатели представлены в таблицах рукописи. Аналитический набор данных и расчетный код рекомендуется приложить к рукописи как дополнительные материалы.</w:t>
      </w:r>
    </w:p>
    <w:p>
      <w:pPr>
        <w:pStyle w:val="BodyText"/>
      </w:pPr>
      <w:r>
        <w:rPr>
          <w:bCs/>
          <w:b/>
        </w:rPr>
        <w:t xml:space="preserve">Одобрение этической комиссии:</w:t>
      </w:r>
      <w:r>
        <w:t xml:space="preserve"> </w:t>
      </w:r>
      <w:r>
        <w:t xml:space="preserve">Не требовалось, поскольку анализировались исключительно общедоступные агрегированные данные без персональных сведений.</w:t>
      </w:r>
    </w:p>
    <w:p>
      <w:pPr>
        <w:pStyle w:val="BodyText"/>
      </w:pPr>
      <w:r>
        <w:rPr>
          <w:bCs/>
          <w:b/>
        </w:rPr>
        <w:t xml:space="preserve">Информированное согласие:</w:t>
      </w:r>
      <w:r>
        <w:t xml:space="preserve"> </w:t>
      </w:r>
      <w:r>
        <w:t xml:space="preserve">Неприменимо.</w:t>
      </w:r>
    </w:p>
    <w:bookmarkEnd w:id="48"/>
    <w:bookmarkStart w:id="49" w:name="X91db0904c26dbf6d392c3357e6510f386af7b76"/>
    <w:p>
      <w:pPr>
        <w:pStyle w:val="Heading2"/>
      </w:pPr>
      <w:r>
        <w:t xml:space="preserve">Дополнительные материалы, рекомендуемые к подаче</w:t>
      </w:r>
    </w:p>
    <w:p>
      <w:pPr>
        <w:pStyle w:val="FirstParagraph"/>
      </w:pPr>
      <w:r>
        <w:t xml:space="preserve">Дополнительный файл S1 — словарь показателей и точные источники каждой ячейки. Дополнительный файл S2 — структурированный региональный набор данных 2022–2025 годов. Дополнительный файл S3 — статистический код воспроизведения индексов, панельных моделей и сценарной проекции. Дополнительный файл S4 — анализ чувствительности композитного индекса после исключения по одному компоненту и при альтернативной стандартизации.</w:t>
      </w:r>
    </w:p>
    <w:bookmarkEnd w:id="49"/>
    <w:bookmarkStart w:id="50" w:name="список-литературы"/>
    <w:p>
      <w:pPr>
        <w:pStyle w:val="Heading2"/>
      </w:pPr>
      <w:r>
        <w:t xml:space="preserve">Список литературы</w:t>
      </w:r>
    </w:p>
    <w:p>
      <w:pPr>
        <w:numPr>
          <w:ilvl w:val="0"/>
          <w:numId w:val="1001"/>
        </w:numPr>
        <w:pStyle w:val="Compact"/>
      </w:pPr>
      <w:r>
        <w:t xml:space="preserve">OECD, European Union, Joint Research Centre.</w:t>
      </w:r>
      <w:r>
        <w:t xml:space="preserve"> </w:t>
      </w:r>
      <w:r>
        <w:rPr>
          <w:iCs/>
          <w:i/>
        </w:rPr>
        <w:t xml:space="preserve">Handbook on Constructing Composite Indicators: Methodology and User Guide.</w:t>
      </w:r>
      <w:r>
        <w:t xml:space="preserve"> </w:t>
      </w:r>
      <w:r>
        <w:t xml:space="preserve">Paris: OECD Publishing; 2008. doi:10.1787/9789264043466-en.</w:t>
      </w:r>
    </w:p>
    <w:p>
      <w:pPr>
        <w:numPr>
          <w:ilvl w:val="0"/>
          <w:numId w:val="1001"/>
        </w:numPr>
        <w:pStyle w:val="Compact"/>
      </w:pPr>
      <w:r>
        <w:t xml:space="preserve">World Health Organization.</w:t>
      </w:r>
      <w:r>
        <w:t xml:space="preserve"> </w:t>
      </w:r>
      <w:r>
        <w:rPr>
          <w:iCs/>
          <w:i/>
        </w:rPr>
        <w:t xml:space="preserve">Handbook on Health Inequality Monitoring: With a Special Focus on Low- and Middle-Income Countries.</w:t>
      </w:r>
      <w:r>
        <w:t xml:space="preserve"> </w:t>
      </w:r>
      <w:r>
        <w:t xml:space="preserve">Geneva: WHO; 2013.</w:t>
      </w:r>
    </w:p>
    <w:p>
      <w:pPr>
        <w:numPr>
          <w:ilvl w:val="0"/>
          <w:numId w:val="1001"/>
        </w:numPr>
        <w:pStyle w:val="Compact"/>
      </w:pPr>
      <w:r>
        <w:t xml:space="preserve">von Elm E, Altman DG, Egger M, Pocock SJ, Gøtzsche PC, Vandenbroucke JP. The Strengthening the Reporting of Observational Studies in Epidemiology (STROBE) statement: guidelines for reporting observational studies.</w:t>
      </w:r>
      <w:r>
        <w:t xml:space="preserve"> </w:t>
      </w:r>
      <w:r>
        <w:rPr>
          <w:iCs/>
          <w:i/>
        </w:rPr>
        <w:t xml:space="preserve">Lancet.</w:t>
      </w:r>
      <w:r>
        <w:t xml:space="preserve"> </w:t>
      </w:r>
      <w:r>
        <w:t xml:space="preserve">2007;370(9596):1453–1457. doi:10.1016/S0140-6736(07)61602-X.</w:t>
      </w:r>
    </w:p>
    <w:p>
      <w:pPr>
        <w:numPr>
          <w:ilvl w:val="0"/>
          <w:numId w:val="1001"/>
        </w:numPr>
        <w:pStyle w:val="Compact"/>
      </w:pPr>
      <w:r>
        <w:t xml:space="preserve">Ono T, Lafortune G, Schoenstein M.</w:t>
      </w:r>
      <w:r>
        <w:t xml:space="preserve"> </w:t>
      </w:r>
      <w:r>
        <w:rPr>
          <w:iCs/>
          <w:i/>
        </w:rPr>
        <w:t xml:space="preserve">Health Workforce Planning in OECD Countries: A Review of 26 Projection Models from 18 Countries.</w:t>
      </w:r>
      <w:r>
        <w:t xml:space="preserve"> </w:t>
      </w:r>
      <w:r>
        <w:t xml:space="preserve">OECD Health Working Papers No. 62. Paris: OECD Publishing; 2013. doi:10.1787/5k44t787zcwb-en.</w:t>
      </w:r>
    </w:p>
    <w:p>
      <w:pPr>
        <w:numPr>
          <w:ilvl w:val="0"/>
          <w:numId w:val="1001"/>
        </w:numPr>
        <w:pStyle w:val="Compact"/>
      </w:pPr>
      <w:r>
        <w:t xml:space="preserve">Penchansky R, Thomas JW. The concept of access: definition and relationship to consumer satisfaction.</w:t>
      </w:r>
      <w:r>
        <w:t xml:space="preserve"> </w:t>
      </w:r>
      <w:r>
        <w:rPr>
          <w:iCs/>
          <w:i/>
        </w:rPr>
        <w:t xml:space="preserve">Medical Care.</w:t>
      </w:r>
      <w:r>
        <w:t xml:space="preserve"> </w:t>
      </w:r>
      <w:r>
        <w:t xml:space="preserve">1981;19(2):127–140.</w:t>
      </w:r>
    </w:p>
    <w:p>
      <w:pPr>
        <w:numPr>
          <w:ilvl w:val="0"/>
          <w:numId w:val="1001"/>
        </w:numPr>
        <w:pStyle w:val="Compact"/>
      </w:pPr>
      <w:r>
        <w:t xml:space="preserve">Guagliardo MF. Spatial accessibility of primary care: concepts, methods and challenges.</w:t>
      </w:r>
      <w:r>
        <w:t xml:space="preserve"> </w:t>
      </w:r>
      <w:r>
        <w:rPr>
          <w:iCs/>
          <w:i/>
        </w:rPr>
        <w:t xml:space="preserve">International Journal of Health Geographics.</w:t>
      </w:r>
      <w:r>
        <w:t xml:space="preserve"> </w:t>
      </w:r>
      <w:r>
        <w:t xml:space="preserve">2004;3:3. doi:10.1186/1476-072X-3-3.</w:t>
      </w:r>
    </w:p>
    <w:p>
      <w:pPr>
        <w:numPr>
          <w:ilvl w:val="0"/>
          <w:numId w:val="1001"/>
        </w:numPr>
        <w:pStyle w:val="Compact"/>
      </w:pPr>
      <w:r>
        <w:t xml:space="preserve">Cameron AC, Miller DL. A practitioner’s guide to cluster-robust inference.</w:t>
      </w:r>
      <w:r>
        <w:t xml:space="preserve"> </w:t>
      </w:r>
      <w:r>
        <w:rPr>
          <w:iCs/>
          <w:i/>
        </w:rPr>
        <w:t xml:space="preserve">Journal of Human Resources.</w:t>
      </w:r>
      <w:r>
        <w:t xml:space="preserve"> </w:t>
      </w:r>
      <w:r>
        <w:t xml:space="preserve">2015;50(2):317–372. doi:10.3368/jhr.50.2.317.</w:t>
      </w:r>
    </w:p>
    <w:p>
      <w:pPr>
        <w:numPr>
          <w:ilvl w:val="0"/>
          <w:numId w:val="1001"/>
        </w:numPr>
        <w:pStyle w:val="Compact"/>
      </w:pPr>
      <w:r>
        <w:t xml:space="preserve">Kharin A, Koichubekov B, Omarkulov B, Sorokina M, Korshukov I, Omarbekova N. First steps in forecasting the health workforce in Kazakhstan: a baseline scenario.</w:t>
      </w:r>
      <w:r>
        <w:t xml:space="preserve"> </w:t>
      </w:r>
      <w:r>
        <w:rPr>
          <w:iCs/>
          <w:i/>
        </w:rPr>
        <w:t xml:space="preserve">Journal of Clinical Medicine of Kazakhstan.</w:t>
      </w:r>
      <w:r>
        <w:t xml:space="preserve"> </w:t>
      </w:r>
      <w:r>
        <w:t xml:space="preserve">2021;18(3):40–45. doi:10.23950/jcmk/10980.</w:t>
      </w:r>
    </w:p>
    <w:p>
      <w:pPr>
        <w:numPr>
          <w:ilvl w:val="0"/>
          <w:numId w:val="1001"/>
        </w:numPr>
        <w:pStyle w:val="Compact"/>
      </w:pPr>
      <w:r>
        <w:t xml:space="preserve">Koichubekov B, Omarkulov B, Omarbekova N, Abdikadirova K, Kharin A, Amirbek A. Forecasting the regional demand for medical workers in Kazakhstan: the functional principal component analysis approach.</w:t>
      </w:r>
      <w:r>
        <w:t xml:space="preserve"> </w:t>
      </w:r>
      <w:r>
        <w:rPr>
          <w:iCs/>
          <w:i/>
        </w:rPr>
        <w:t xml:space="preserve">International Journal of Environmental Research and Public Health.</w:t>
      </w:r>
      <w:r>
        <w:t xml:space="preserve"> </w:t>
      </w:r>
      <w:r>
        <w:t xml:space="preserve">2025;22(7):1052. doi:10.3390/ijerph22071052.</w:t>
      </w:r>
    </w:p>
    <w:p>
      <w:pPr>
        <w:numPr>
          <w:ilvl w:val="0"/>
          <w:numId w:val="1001"/>
        </w:numPr>
        <w:pStyle w:val="Compact"/>
      </w:pPr>
      <w:r>
        <w:t xml:space="preserve">Министерство здравоохранения Республики Казахстан.</w:t>
      </w:r>
      <w:r>
        <w:t xml:space="preserve"> </w:t>
      </w:r>
      <w:r>
        <w:rPr>
          <w:iCs/>
          <w:i/>
        </w:rPr>
        <w:t xml:space="preserve">Здоровье населения Республики Казахстан и деятельность организаций здравоохранения в 2022 году: статистический сборник.</w:t>
      </w:r>
      <w:r>
        <w:t xml:space="preserve"> </w:t>
      </w:r>
      <w:r>
        <w:t xml:space="preserve">Опубликовано 11 января 2024 года. Доступно: https://www.gov.kz/memleket/entities/dsm/documents/details/583047?lang=ru. Дата обращения: 17.07.2026.</w:t>
      </w:r>
    </w:p>
    <w:p>
      <w:pPr>
        <w:numPr>
          <w:ilvl w:val="0"/>
          <w:numId w:val="1001"/>
        </w:numPr>
        <w:pStyle w:val="Compact"/>
      </w:pPr>
      <w:r>
        <w:t xml:space="preserve">Министерство здравоохранения Республики Казахстан.</w:t>
      </w:r>
      <w:r>
        <w:t xml:space="preserve"> </w:t>
      </w:r>
      <w:r>
        <w:rPr>
          <w:iCs/>
          <w:i/>
        </w:rPr>
        <w:t xml:space="preserve">Здоровье населения Республики Казахстан и деятельность организаций здравоохранения в 2024 году: статистический сборник.</w:t>
      </w:r>
      <w:r>
        <w:t xml:space="preserve"> </w:t>
      </w:r>
      <w:r>
        <w:t xml:space="preserve">Опубликовано 11 июля 2025 года. Доступно: https://www.gov.kz/memleket/entities/dsm/documents/details/868928?lang=ru. Дата обращения: 17.07.2026.</w:t>
      </w:r>
    </w:p>
    <w:p>
      <w:pPr>
        <w:numPr>
          <w:ilvl w:val="0"/>
          <w:numId w:val="1001"/>
        </w:numPr>
        <w:pStyle w:val="Compact"/>
      </w:pPr>
      <w:r>
        <w:t xml:space="preserve">Министерство здравоохранения Республики Казахстан.</w:t>
      </w:r>
      <w:r>
        <w:t xml:space="preserve"> </w:t>
      </w:r>
      <w:r>
        <w:rPr>
          <w:iCs/>
          <w:i/>
        </w:rPr>
        <w:t xml:space="preserve">Здоровье населения Республики Казахстан и деятельность организаций здравоохранения в 2025 году: статистический сборник.</w:t>
      </w:r>
      <w:r>
        <w:t xml:space="preserve"> </w:t>
      </w:r>
      <w:r>
        <w:t xml:space="preserve">Астана; 2026.</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Региональный баланс ресурсов и нагрузки системы здравоохранения Казахстана</dc:title>
  <dc:creator/>
  <cp:keywords/>
  <dcterms:created xsi:type="dcterms:W3CDTF">2026-07-17T12:13:04Z</dcterms:created>
  <dcterms:modified xsi:type="dcterms:W3CDTF">2026-07-17T12:13:04Z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Microsoft Word</vt:lpwstr>
  </property>
  <property fmtid="{D5CDD505-2E9C-101B-9397-08002B2CF9AE}" pid="3" name="ProgId">
    <vt:lpwstr>Word.Document</vt:lpwstr>
  </property>
</Properties>
</file>