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backend-recommendations-autosuivi.tn"/>
    <w:p>
      <w:pPr>
        <w:pStyle w:val="Heading1"/>
      </w:pPr>
      <w:r>
        <w:t xml:space="preserve">Backend Recommendations — AutoSuivi.tn</w:t>
      </w:r>
    </w:p>
    <w:p>
      <w:pPr>
        <w:pStyle w:val="FirstParagraph"/>
      </w:pPr>
      <w:r>
        <w:t xml:space="preserve">Ce document liste les ajustements nécessaires ou recommandés sur le backend (</w:t>
      </w:r>
      <w:r>
        <w:rPr>
          <w:rStyle w:val="VerbatimChar"/>
        </w:rPr>
        <w:t xml:space="preserve">http://102.204.205.49/api</w:t>
      </w:r>
      <w:r>
        <w:t xml:space="preserve">) pour garantir la compatibilité avec la nouvelle architecture Clean du frontend.</w:t>
      </w:r>
    </w:p>
    <w:p>
      <w:r>
        <w:pict>
          <v:rect style="width:0;height:1.5pt" o:hralign="center" o:hrstd="t" o:hr="t"/>
        </w:pict>
      </w:r>
    </w:p>
    <w:bookmarkStart w:id="20" w:name="format-de-réponse-standardisé"/>
    <w:p>
      <w:pPr>
        <w:pStyle w:val="Heading2"/>
      </w:pPr>
      <w:r>
        <w:t xml:space="preserve">1. Format de réponse standardisé</w:t>
      </w:r>
    </w:p>
    <w:p>
      <w:pPr>
        <w:pStyle w:val="FirstParagraph"/>
      </w:pPr>
      <w:r>
        <w:t xml:space="preserve">Le frontend s’attend à un format de réponse cohérent.</w:t>
      </w:r>
      <w:r>
        <w:t xml:space="preserve"> </w:t>
      </w:r>
      <w:r>
        <w:rPr>
          <w:bCs/>
          <w:b/>
        </w:rPr>
        <w:t xml:space="preserve">Adopter un wrapper standard</w:t>
      </w:r>
      <w:r>
        <w:t xml:space="preserve"> </w:t>
      </w:r>
      <w:r>
        <w:t xml:space="preserve">pour toutes les réponses 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Succès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unique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Succès</w:t>
      </w:r>
      <w:r>
        <w:rPr>
          <w:rStyle w:val="NormalTok"/>
        </w:rPr>
        <w:t xml:space="preserve"> </w:t>
      </w:r>
      <w:r>
        <w:rPr>
          <w:rStyle w:val="ErrorTok"/>
        </w:rPr>
        <w:t xml:space="preserve">-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Erreur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de l'erreur"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 </w:t>
      </w:r>
      <w:r>
        <w:t xml:space="preserve">: L’ApiClient frontend est résilient et peut gérer plusieurs formats (</w:t>
      </w:r>
      <w:r>
        <w:rPr>
          <w:rStyle w:val="VerbatimChar"/>
        </w:rPr>
        <w:t xml:space="preserve">data.vehicle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data.data</w:t>
      </w:r>
      <w:r>
        <w:t xml:space="preserve">, ou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directement), mais un format standard est préférable.</w:t>
      </w:r>
    </w:p>
    <w:p>
      <w:r>
        <w:pict>
          <v:rect style="width:0;height:1.5pt" o:hralign="center" o:hrstd="t" o:hr="t"/>
        </w:pict>
      </w:r>
    </w:p>
    <w:bookmarkEnd w:id="20"/>
    <w:bookmarkStart w:id="25" w:name="endpoints-requis"/>
    <w:p>
      <w:pPr>
        <w:pStyle w:val="Heading2"/>
      </w:pPr>
      <w:r>
        <w:t xml:space="preserve">2. Endpoints requis</w:t>
      </w:r>
    </w:p>
    <w:bookmarkStart w:id="21" w:name="authentification-apiauth"/>
    <w:p>
      <w:pPr>
        <w:pStyle w:val="Heading3"/>
      </w:pPr>
      <w:r>
        <w:t xml:space="preserve">✅ Authentification (</w:t>
      </w:r>
      <w:r>
        <w:rPr>
          <w:rStyle w:val="VerbatimChar"/>
        </w:rPr>
        <w:t xml:space="preserve">/api/auth/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7"/>
        <w:gridCol w:w="1841"/>
        <w:gridCol w:w="1105"/>
        <w:gridCol w:w="33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attendue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email,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user: { id, email, name, created_at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email,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user: { id, email, name, created_at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(JWT header)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user: { id, email, name, created_at } }</w:t>
            </w:r>
          </w:p>
        </w:tc>
      </w:tr>
    </w:tbl>
    <w:bookmarkEnd w:id="21"/>
    <w:bookmarkStart w:id="22" w:name="véhicules-apivehicles"/>
    <w:p>
      <w:pPr>
        <w:pStyle w:val="Heading3"/>
      </w:pPr>
      <w:r>
        <w:t xml:space="preserve">✅ Véhicules (</w:t>
      </w:r>
      <w:r>
        <w:rPr>
          <w:rStyle w:val="VerbatimChar"/>
        </w:rPr>
        <w:t xml:space="preserve">/api/vehicles/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7"/>
        <w:gridCol w:w="1841"/>
        <w:gridCol w:w="1105"/>
        <w:gridCol w:w="33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attendue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vehicles: [...]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vehicle: {...}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brand, model, year, plate, initial_mileage, current_mileage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vehicle: {...}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partiels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vehicle: {...}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"..." }</w:t>
            </w:r>
          </w:p>
        </w:tc>
      </w:tr>
    </w:tbl>
    <w:bookmarkEnd w:id="22"/>
    <w:bookmarkStart w:id="23" w:name="kilométrage-apivehiclesvehicleidmileage"/>
    <w:p>
      <w:pPr>
        <w:pStyle w:val="Heading3"/>
      </w:pPr>
      <w:r>
        <w:t xml:space="preserve">✅ Kilométrage (</w:t>
      </w:r>
      <w:r>
        <w:rPr>
          <w:rStyle w:val="VerbatimChar"/>
        </w:rPr>
        <w:t xml:space="preserve">/api/vehicles/:vehicleId/mileage/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7"/>
        <w:gridCol w:w="1841"/>
        <w:gridCol w:w="1105"/>
        <w:gridCol w:w="33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attendue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/vehicles/:vehicleId/mileage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value, date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reading: {...}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/vehicles/:vehicleId/mileage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readings: [...] }</w:t>
            </w:r>
          </w:p>
        </w:tc>
      </w:tr>
    </w:tbl>
    <w:bookmarkEnd w:id="23"/>
    <w:bookmarkStart w:id="24" w:name="endpoints-futurs-non-bloquants"/>
    <w:p>
      <w:pPr>
        <w:pStyle w:val="Heading3"/>
      </w:pPr>
      <w:r>
        <w:t xml:space="preserve">🔲 Endpoints futurs (non bloquants)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2475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/vehicles/:vehicleId/mileage/stats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calculées côté serveur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/vehicles/:vehicleId/maintenance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Enregistrements de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/vehicles/:vehicleId/deadlines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Échéances (assurance, vignette, visite technique)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mapping-des-champs-snake_case"/>
    <w:p>
      <w:pPr>
        <w:pStyle w:val="Heading2"/>
      </w:pPr>
      <w:r>
        <w:t xml:space="preserve">3. Mapping des champs (snake_case)</w:t>
      </w:r>
    </w:p>
    <w:p>
      <w:pPr>
        <w:pStyle w:val="FirstParagraph"/>
      </w:pPr>
      <w:r>
        <w:t xml:space="preserve">Le backend doit utiliser</w:t>
      </w:r>
      <w:r>
        <w:t xml:space="preserve"> </w:t>
      </w:r>
      <w:r>
        <w:rPr>
          <w:bCs/>
          <w:b/>
        </w:rPr>
        <w:t xml:space="preserve">snake_case</w:t>
      </w:r>
      <w:r>
        <w:t xml:space="preserve"> </w:t>
      </w:r>
      <w:r>
        <w:t xml:space="preserve">pour les noms de champs dans les JSON. Le frontend convertit automatiquement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 (snake_case)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(camelCase)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initialMileage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currentMileage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iddleware-jwt"/>
    <w:p>
      <w:pPr>
        <w:pStyle w:val="Heading2"/>
      </w:pPr>
      <w:r>
        <w:t xml:space="preserve">4. Middleware JWT</w:t>
      </w:r>
    </w:p>
    <w:p>
      <w:pPr>
        <w:pStyle w:val="FirstParagraph"/>
      </w:pPr>
      <w:r>
        <w:t xml:space="preserve">Vérifier que le middleware d’authentification :</w:t>
      </w:r>
      <w:r>
        <w:t xml:space="preserve"> </w:t>
      </w:r>
      <w:r>
        <w:t xml:space="preserve">- Lit le token depuis le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- Renvoie un statut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avec un body</w:t>
      </w:r>
      <w:r>
        <w:t xml:space="preserve"> </w:t>
      </w:r>
      <w:r>
        <w:rPr>
          <w:rStyle w:val="VerbatimChar"/>
        </w:rPr>
        <w:t xml:space="preserve">{ message: "..." }</w:t>
      </w:r>
      <w:r>
        <w:t xml:space="preserve"> </w:t>
      </w:r>
      <w:r>
        <w:t xml:space="preserve">en cas de token invalide/expiré</w:t>
      </w:r>
      <w:r>
        <w:t xml:space="preserve"> </w:t>
      </w:r>
      <w:r>
        <w:t xml:space="preserve">- Injecte</w:t>
      </w:r>
      <w:r>
        <w:t xml:space="preserve"> </w:t>
      </w:r>
      <w:r>
        <w:rPr>
          <w:rStyle w:val="VerbatimChar"/>
        </w:rPr>
        <w:t xml:space="preserve">req.user.id</w:t>
      </w:r>
      <w:r>
        <w:t xml:space="preserve"> </w:t>
      </w:r>
      <w:r>
        <w:t xml:space="preserve">pour filtrer les véhicules par utilisateur</w:t>
      </w:r>
    </w:p>
    <w:p>
      <w:r>
        <w:pict>
          <v:rect style="width:0;height:1.5pt" o:hralign="center" o:hrstd="t" o:hr="t"/>
        </w:pict>
      </w:r>
    </w:p>
    <w:bookmarkEnd w:id="27"/>
    <w:bookmarkStart w:id="30" w:name="validation-des-données"/>
    <w:p>
      <w:pPr>
        <w:pStyle w:val="Heading2"/>
      </w:pPr>
      <w:r>
        <w:t xml:space="preserve">5. Validation des données</w:t>
      </w:r>
    </w:p>
    <w:bookmarkStart w:id="28" w:name="création-de-véhicule-post-vehicles"/>
    <w:p>
      <w:pPr>
        <w:pStyle w:val="Heading3"/>
      </w:pPr>
      <w:r>
        <w:t xml:space="preserve">Création de véhicule (</w:t>
      </w:r>
      <w:r>
        <w:rPr>
          <w:rStyle w:val="VerbatimChar"/>
        </w:rPr>
        <w:t xml:space="preserve">POST /vehicles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Champs requis</w:t>
      </w:r>
      <w:r>
        <w:br/>
      </w:r>
      <w:r>
        <w:rPr>
          <w:rStyle w:val="Normal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(non vide)</w:t>
      </w:r>
      <w:r>
        <w:br/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(non vide)</w:t>
      </w:r>
      <w:r>
        <w:br/>
      </w:r>
      <w:r>
        <w:rPr>
          <w:rStyle w:val="Normal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1900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(non 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 tunisien de préférence)</w:t>
      </w:r>
      <w:r>
        <w:br/>
      </w:r>
      <w:r>
        <w:rPr>
          <w:rStyle w:val="NormalTok"/>
        </w:rPr>
        <w:t xml:space="preserve">initial_mileage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current_mileage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initial_mileage)</w:t>
      </w:r>
    </w:p>
    <w:bookmarkEnd w:id="28"/>
    <w:bookmarkStart w:id="29" w:name="X68a03f5b96edd9552ab25aaee4882906322105b"/>
    <w:p>
      <w:pPr>
        <w:pStyle w:val="Heading3"/>
      </w:pPr>
      <w:r>
        <w:t xml:space="preserve">Ajout kilométrage (</w:t>
      </w:r>
      <w:r>
        <w:rPr>
          <w:rStyle w:val="VerbatimChar"/>
        </w:rPr>
        <w:t xml:space="preserve">POST /vehicles/:vehicleId/mileage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dernière lecture)</w:t>
      </w:r>
      <w:r>
        <w:br/>
      </w:r>
      <w:r>
        <w:rPr>
          <w:rStyle w:val="Normal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(ISO </w:t>
      </w:r>
      <w:r>
        <w:rPr>
          <w:rStyle w:val="DecValTok"/>
        </w:rPr>
        <w:t xml:space="preserve">8601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"2024-03-28T14:30:00Z"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 backend devrait :</w:t>
      </w:r>
      <w:r>
        <w:t xml:space="preserve"> </w:t>
      </w:r>
      <w:r>
        <w:t xml:space="preserve">- Calculer automatiquement le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(différence avec la lecture précédente)</w:t>
      </w:r>
      <w:r>
        <w:t xml:space="preserve"> </w:t>
      </w:r>
      <w:r>
        <w:t xml:space="preserve">- Mettre à jour le</w:t>
      </w:r>
      <w:r>
        <w:t xml:space="preserve"> </w:t>
      </w:r>
      <w:r>
        <w:rPr>
          <w:rStyle w:val="VerbatimChar"/>
        </w:rPr>
        <w:t xml:space="preserve">current_mileage</w:t>
      </w:r>
      <w:r>
        <w:t xml:space="preserve"> </w:t>
      </w:r>
      <w:r>
        <w:t xml:space="preserve">du véhicule après insertion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gestion-des-erreurs"/>
    <w:p>
      <w:pPr>
        <w:pStyle w:val="Heading2"/>
      </w:pPr>
      <w:r>
        <w:t xml:space="preserve">6. Gestion des erreurs</w:t>
      </w:r>
    </w:p>
    <w:p>
      <w:pPr>
        <w:pStyle w:val="FirstParagraph"/>
      </w:pPr>
      <w:r>
        <w:t xml:space="preserve">Codes HTTP recommandés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: Succès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: Création réussie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: Données invalides (validation)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: Non authentifié / Token expiré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: Accès refusé (véhicule d’un autre utilisateur)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: Ressource non trouvée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: Erreur serveur</w:t>
      </w:r>
    </w:p>
    <w:p>
      <w:r>
        <w:pict>
          <v:rect style="width:0;height:1.5pt" o:hralign="center" o:hrstd="t" o:hr="t"/>
        </w:pict>
      </w:r>
    </w:p>
    <w:bookmarkEnd w:id="31"/>
    <w:bookmarkStart w:id="32" w:name="cors"/>
    <w:p>
      <w:pPr>
        <w:pStyle w:val="Heading2"/>
      </w:pPr>
      <w:r>
        <w:t xml:space="preserve">7. CORS</w:t>
      </w:r>
    </w:p>
    <w:p>
      <w:pPr>
        <w:pStyle w:val="FirstParagraph"/>
      </w:pPr>
      <w:r>
        <w:t xml:space="preserve">S’assurer que le serveur autorise les requêtes depuis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http://localhost:8081</w:t>
      </w:r>
      <w:r>
        <w:t xml:space="preserve"> </w:t>
      </w:r>
      <w:r>
        <w:t xml:space="preserve">(Expo dev)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http://localhost:19006</w:t>
      </w:r>
      <w:r>
        <w:t xml:space="preserve"> </w:t>
      </w:r>
      <w:r>
        <w:t xml:space="preserve">(Expo web)</w:t>
      </w:r>
      <w:r>
        <w:t xml:space="preserve"> </w:t>
      </w:r>
      <w:r>
        <w:t xml:space="preserve">- Ou utiliser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en développement</w:t>
      </w:r>
    </w:p>
    <w:p>
      <w:r>
        <w:pict>
          <v:rect style="width:0;height:1.5pt" o:hralign="center" o:hrstd="t" o:hr="t"/>
        </w:pict>
      </w:r>
    </w:p>
    <w:bookmarkEnd w:id="32"/>
    <w:bookmarkStart w:id="33" w:name="sécurité-vérification-dappartenance"/>
    <w:p>
      <w:pPr>
        <w:pStyle w:val="Heading2"/>
      </w:pPr>
      <w:r>
        <w:t xml:space="preserve">8. Sécurité — Vérification d’appartenance</w:t>
      </w:r>
    </w:p>
    <w:p>
      <w:pPr>
        <w:pStyle w:val="FirstParagraph"/>
      </w:pPr>
      <w:r>
        <w:t xml:space="preserve">Pour chaque opération sur un véhicule, vérifier que</w:t>
      </w:r>
      <w:r>
        <w:t xml:space="preserve"> </w:t>
      </w:r>
      <w:r>
        <w:rPr>
          <w:rStyle w:val="VerbatimChar"/>
        </w:rPr>
        <w:t xml:space="preserve">vehicle.user_id === req.user.id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Middleware suggestion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checkVehicleOwnership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findByPk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'Véhicule non trouvé'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(vehicle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'Accès refusé'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2026-05-08T02:55:04Z</dcterms:created>
  <dcterms:modified xsi:type="dcterms:W3CDTF">2026-05-08T02:55:04Z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