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rFonts w:ascii="Arial" w:hAnsi="Arial"/>
          <w:b/>
          <w:color w:val="1B365D"/>
          <w:sz w:val="52"/>
        </w:rPr>
        <w:t>SMB VENTURE</w:t>
        <w:br/>
      </w:r>
      <w:r>
        <w:rPr>
          <w:rFonts w:ascii="Arial" w:hAnsi="Arial"/>
          <w:color w:val="5C768D"/>
          <w:sz w:val="28"/>
        </w:rPr>
        <w:t>CORPORATE COMPANY PROFILE &amp; CONTRACTUAL KIT</w:t>
        <w:br/>
      </w:r>
    </w:p>
    <w:p>
      <w:r>
        <w:rPr>
          <w:b/>
          <w:color w:val="1B365D"/>
          <w:sz w:val="32"/>
        </w:rPr>
        <w:t>1. Executive Summary &amp; Leadership Lineage</w:t>
      </w:r>
    </w:p>
    <w:p>
      <w:r>
        <w:t>SMB Venture is an elite multi-disciplinary Project Management Office (PMO) and Master Consortium Lead built to command infrastructure construction, engineering consulting, waterworks, fire protection, and comprehensive asset security networks. Moving past standard legacy overheads, SMB Venture champions a hyper-efficient Strategic Consortium Model—serving as a single-point strategic anchor for premier property developers, regional water concessionaires, and public regulatory authorities across Malaysia.</w:t>
      </w:r>
    </w:p>
    <w:p>
      <w:r>
        <w:rPr>
          <w:b/>
          <w:i/>
          <w:color w:val="1B365D"/>
        </w:rPr>
        <w:t>Strategic Leadership &amp; Lineage Note:</w:t>
        <w:br/>
      </w:r>
      <w:r>
        <w:rPr>
          <w:i/>
        </w:rPr>
        <w:t>"At SMB Venture, our operations are built on a heritage of core engineering execution and nationwide infrastructure delivery. Growing up within the corporate ecosystem and legacy established by my maternal uncle, YBhg Tan Sri Rozali Ismail (Executive Chairman of Puncak Niaga Holdings Berhad and pioneer of Malaysia's modern waterworks utilities), I have integrated deep corporate governance, uncompromising compliance metrics, and large-scale project execution philosophies straight into the framework of SMB Venture. We combine this high-level corporate mentorship with nimble, multi-disciplinary asset execution to guarantee institutional excellence for our commercial clients."</w:t>
      </w:r>
    </w:p>
    <w:p>
      <w:r>
        <w:rPr>
          <w:b/>
          <w:color w:val="1B365D"/>
          <w:sz w:val="32"/>
        </w:rPr>
        <w:t>2. Strategic Alliance Ecosystem Grid</w:t>
      </w:r>
    </w:p>
    <w:p>
      <w:r>
        <w:t>To ensure absolute execution capacity up to Grade-7 (G7) thresholds and specialized legal clearances, SMB Venture has locked in exclusive inter-company Letters of Collaboration (LoC) with the following specialized market forces:</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Core Technical Vertical</w:t>
            </w:r>
          </w:p>
        </w:tc>
        <w:tc>
          <w:tcPr>
            <w:tcW w:type="dxa" w:w="3120"/>
          </w:tcPr>
          <w:p>
            <w:r>
              <w:t>Allied Consortium Partner</w:t>
            </w:r>
          </w:p>
        </w:tc>
        <w:tc>
          <w:tcPr>
            <w:tcW w:type="dxa" w:w="3120"/>
          </w:tcPr>
          <w:p>
            <w:r>
              <w:t>Operational Value to Project</w:t>
            </w:r>
          </w:p>
        </w:tc>
      </w:tr>
      <w:tr>
        <w:tc>
          <w:tcPr>
            <w:tcW w:type="dxa" w:w="3120"/>
          </w:tcPr>
          <w:p>
            <w:r>
              <w:t>Civil &amp; Structural Engineering</w:t>
            </w:r>
          </w:p>
        </w:tc>
        <w:tc>
          <w:tcPr>
            <w:tcW w:type="dxa" w:w="3120"/>
          </w:tcPr>
          <w:p>
            <w:r>
              <w:t>JPT Consulting Engineering Sdn Bhd</w:t>
            </w:r>
          </w:p>
        </w:tc>
        <w:tc>
          <w:tcPr>
            <w:tcW w:type="dxa" w:w="3120"/>
          </w:tcPr>
          <w:p>
            <w:r>
              <w:t>Infrastructure planning, heavy engineering blueprinting, and statutory local authority plan submission.</w:t>
            </w:r>
          </w:p>
        </w:tc>
      </w:tr>
      <w:tr>
        <w:tc>
          <w:tcPr>
            <w:tcW w:type="dxa" w:w="3120"/>
          </w:tcPr>
          <w:p>
            <w:r>
              <w:t>Physical &amp; Site Security Assets</w:t>
            </w:r>
          </w:p>
        </w:tc>
        <w:tc>
          <w:tcPr>
            <w:tcW w:type="dxa" w:w="3120"/>
          </w:tcPr>
          <w:p>
            <w:r>
              <w:t>Prisma Senada Sdn Bhd</w:t>
            </w:r>
          </w:p>
        </w:tc>
        <w:tc>
          <w:tcPr>
            <w:tcW w:type="dxa" w:w="3120"/>
          </w:tcPr>
          <w:p>
            <w:r>
              <w:t>Supply of licensed corporate guard forces, deployment of perimeter surveillance protocols, and site safety logs.</w:t>
            </w:r>
          </w:p>
        </w:tc>
      </w:tr>
      <w:tr>
        <w:tc>
          <w:tcPr>
            <w:tcW w:type="dxa" w:w="3120"/>
          </w:tcPr>
          <w:p>
            <w:r>
              <w:t>Material Supply Chain &amp; Fittings</w:t>
            </w:r>
          </w:p>
        </w:tc>
        <w:tc>
          <w:tcPr>
            <w:tcW w:type="dxa" w:w="3120"/>
          </w:tcPr>
          <w:p>
            <w:r>
              <w:t>Newflo Corporation Sdn Bhd</w:t>
            </w:r>
          </w:p>
        </w:tc>
        <w:tc>
          <w:tcPr>
            <w:tcW w:type="dxa" w:w="3120"/>
          </w:tcPr>
          <w:p>
            <w:r>
              <w:t>Direct factory procurement pipelines for industrial valves, waterworks fittings, and active fire fighting pipes.</w:t>
            </w:r>
          </w:p>
        </w:tc>
      </w:tr>
      <w:tr>
        <w:tc>
          <w:tcPr>
            <w:tcW w:type="dxa" w:w="3120"/>
          </w:tcPr>
          <w:p>
            <w:r>
              <w:t>Infrastructure Construction &amp; Main Waterworks</w:t>
            </w:r>
          </w:p>
        </w:tc>
        <w:tc>
          <w:tcPr>
            <w:tcW w:type="dxa" w:w="3120"/>
          </w:tcPr>
          <w:p>
            <w:r>
              <w:t>Daun Rimbun Sdn Bhd</w:t>
            </w:r>
          </w:p>
        </w:tc>
        <w:tc>
          <w:tcPr>
            <w:tcW w:type="dxa" w:w="3120"/>
          </w:tcPr>
          <w:p>
            <w:r>
              <w:t>Heavy machinery deployment, mainline trenching, water pipe-laying, and formal SPAN connection handovers.</w:t>
            </w:r>
          </w:p>
        </w:tc>
      </w:tr>
    </w:tbl>
    <w:p>
      <w:pPr>
        <w:spacing w:before="480"/>
      </w:pPr>
      <w:r>
        <w:rPr>
          <w:b/>
          <w:color w:val="1B365D"/>
          <w:sz w:val="32"/>
        </w:rPr>
        <w:t>3. Strategic Template: Letter of Collaboration (LoC)</w:t>
      </w:r>
    </w:p>
    <w:p>
      <w:r>
        <w:t>This framework establishes SMB Venture's executive authority to market, bundle, and represent your partners' specialized licenses to commercial property developers. Copy this template onto your letterhead for physical execution.</w:t>
      </w:r>
    </w:p>
    <w:p>
      <w:r>
        <w:rPr>
          <w:b/>
        </w:rPr>
        <w:t>LETTER OF COLLABORATION (LoC)</w:t>
        <w:br/>
        <w:br/>
      </w:r>
      <w:r>
        <w:rPr>
          <w:b/>
        </w:rPr>
        <w:t>DATE: 12 October 2026</w:t>
        <w:br/>
        <w:br/>
      </w:r>
      <w:r>
        <w:rPr>
          <w:i/>
        </w:rPr>
        <w:t>BETWEEN:</w:t>
        <w:br/>
        <w:t>SMB VENTURE (Registration No: [Insert Enterprise Reg No]), a business entity registered under the laws of Malaysia, with its principal business address at [Insert Address] (hereinafter referred to as "SMBV");</w:t>
        <w:br/>
        <w:br/>
      </w:r>
      <w:r>
        <w:rPr>
          <w:i/>
        </w:rPr>
        <w:t>AND</w:t>
        <w:br/>
        <w:t>[INSERT PARTNER COMPANY NAME] SDN BHD (Company No: [Insert Co No]), a private limited company incorporated under the laws of Malaysia, with its registered address at [Insert Partner Address] (hereinafter referred to as the "Strategic Partner").</w:t>
        <w:br/>
        <w:br/>
      </w:r>
      <w:r>
        <w:rPr>
          <w:b/>
        </w:rPr>
        <w:t>1. PURPOSE &amp; ROLES</w:t>
        <w:br/>
      </w:r>
      <w:r>
        <w:t>1.1 SMBV acts as the Master Consortium Lead and Project Management Office (PMO) to secure commercial engineering infrastructure opportunities. The Strategic Partner agrees to cooperate by providing technical capacity, asset pools, and professional licenses (e.g., CIDB, SPAN, BEM, Bomba) to support unified bids.</w:t>
        <w:br/>
        <w:br/>
      </w:r>
      <w:r>
        <w:rPr>
          <w:b/>
        </w:rPr>
        <w:t>2. NON-CIRCUMVENTION PROTECTION</w:t>
        <w:br/>
      </w:r>
      <w:r>
        <w:t>2.1 The Strategic Partner explicitly covenants and agrees that it will not circumvent, bypass, or exclude SMBV to engage directly or contract with any client, property developer, or project site introduced to them by SMBV. This non-circumvention obligation shall remain strictly binding for a period of two (2) years from the date of introduction.</w:t>
        <w:br/>
        <w:br/>
      </w:r>
      <w:r>
        <w:t>IN WITNESS WHEREOF, the Parties have executed this framework agreement:</w:t>
        <w:br/>
        <w:br/>
      </w:r>
      <w:r>
        <w:t>For SMB VENTURE: ___________________________ (CEO)</w:t>
        <w:br/>
        <w:br/>
      </w:r>
      <w:r>
        <w:t>For STRATEGIC PARTNER: ___________________________ (Director)</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