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0C2340"/>
          <w:sz w:val="56"/>
        </w:rPr>
        <w:t>SMB VENTURE</w:t>
      </w:r>
    </w:p>
    <w:p>
      <w:pPr>
        <w:spacing w:after="960"/>
      </w:pPr>
      <w:r>
        <w:rPr>
          <w:rFonts w:ascii="Calibri" w:hAnsi="Calibri"/>
          <w:i/>
          <w:color w:val="5A6B7C"/>
          <w:sz w:val="28"/>
        </w:rPr>
        <w:t>Corporate Capability &amp; Consortium Profile</w:t>
      </w:r>
    </w:p>
    <w:p>
      <w:r>
        <w:br w:type="page"/>
      </w:r>
    </w:p>
    <w:p>
      <w:pPr>
        <w:keepNext/>
        <w:spacing w:before="360" w:after="120"/>
      </w:pPr>
      <w:r>
        <w:rPr>
          <w:rFonts w:ascii="Calibri" w:hAnsi="Calibri"/>
          <w:b/>
          <w:color w:val="0C2340"/>
          <w:sz w:val="32"/>
        </w:rPr>
        <w:t>1. Message from the Chief Executive Officer</w:t>
      </w:r>
    </w:p>
    <w:p>
      <w:pPr>
        <w:spacing w:after="120" w:line="276" w:lineRule="auto"/>
      </w:pPr>
      <w:r>
        <w:rPr>
          <w:rFonts w:ascii="Calibri" w:hAnsi="Calibri"/>
          <w:i/>
          <w:color w:val="1E1E1E"/>
          <w:sz w:val="22"/>
        </w:rPr>
        <w:t>"At SMB Venture, we believe that world-class infrastructure is the foundational bedrock of national development. Growing up under the profound corporate influence and mentorship of my maternal uncle, YBhg Tan Sri Rozali Ismail (Executive Chairman of Puncak Niaga Holdings Berhad and a pioneering icon of Malaysia's water utilities sector), I was early instilled with deep values of absolute corporate integrity, engineering precision, and visionary operational execution.</w:t>
        <w:br/>
        <w:br/>
        <w:t>These baseline tenets drive SMB Venture to operate not merely as a standalone business, but as a high-leverage Master Consortium Lead and Project Management Office (PMO). By unifying class-leading strategic partners under a single point of accountability, we ensure that property developers, corporate stakeholders, and statutory authorities receive institutional-grade delivery paired with swift administrative agility."</w:t>
      </w:r>
    </w:p>
    <w:p>
      <w:pPr>
        <w:keepNext/>
        <w:spacing w:before="360" w:after="120"/>
      </w:pPr>
      <w:r>
        <w:rPr>
          <w:rFonts w:ascii="Calibri" w:hAnsi="Calibri"/>
          <w:b/>
          <w:color w:val="0C2340"/>
          <w:sz w:val="32"/>
        </w:rPr>
        <w:t>2. Strategic Advisory &amp; Mentorship Framework</w:t>
      </w:r>
    </w:p>
    <w:p>
      <w:pPr>
        <w:spacing w:after="120" w:line="276" w:lineRule="auto"/>
      </w:pPr>
      <w:r>
        <w:rPr>
          <w:rFonts w:ascii="Calibri" w:hAnsi="Calibri"/>
          <w:i w:val="0"/>
          <w:color w:val="1E1E1E"/>
          <w:sz w:val="22"/>
        </w:rPr>
        <w:t>To confidently navigate the large-scale complexities of multi-disciplinary civil engineering and public utility frameworks, SMB Venture sits within an elite strategic advisory network. Our corporate direction and compliance metrics are closely aligned with the legacy standards established by Malaysia's premier utility figures. This governance framework ensures that our project delivery structures match the rigorous execution, quality control, and safety standard operating procedures (SOPs) expected by tier-1 public listed property developers and government bodies.</w:t>
      </w:r>
    </w:p>
    <w:p>
      <w:pPr>
        <w:keepNext/>
        <w:spacing w:before="360" w:after="120"/>
      </w:pPr>
      <w:r>
        <w:rPr>
          <w:rFonts w:ascii="Calibri" w:hAnsi="Calibri"/>
          <w:b/>
          <w:color w:val="0C2340"/>
          <w:sz w:val="32"/>
        </w:rPr>
        <w:t>3. About SMB Venture</w:t>
      </w:r>
    </w:p>
    <w:p>
      <w:pPr>
        <w:spacing w:after="120" w:line="276" w:lineRule="auto"/>
      </w:pPr>
      <w:r>
        <w:rPr>
          <w:rFonts w:ascii="Calibri" w:hAnsi="Calibri"/>
          <w:i w:val="0"/>
          <w:color w:val="1E1E1E"/>
          <w:sz w:val="22"/>
        </w:rPr>
        <w:t>SMB Venture is a specialized, multi-disciplinary Project Management Office (PMO) and turnkey consortium anchor operating across key engineering, construction, and corporate safety verticals. Moving past standard, resource-heavy corporate setups, SMB Venture champions a sophisticated 'Strategic Alliance Network' model. We coordinate specialized market leaders into an agile, fully scalable commercial force that delivers project handovers perfectly cleared by Malaysian statutory authorities.</w:t>
      </w:r>
    </w:p>
    <w:p>
      <w:pPr>
        <w:keepNext/>
        <w:spacing w:before="240" w:after="80"/>
      </w:pPr>
      <w:r>
        <w:rPr>
          <w:rFonts w:ascii="Calibri" w:hAnsi="Calibri"/>
          <w:b/>
          <w:color w:val="5A6B7C"/>
          <w:sz w:val="26"/>
        </w:rPr>
        <w:t>Vision</w:t>
      </w:r>
    </w:p>
    <w:p>
      <w:pPr>
        <w:spacing w:after="120" w:line="276" w:lineRule="auto"/>
      </w:pPr>
      <w:r>
        <w:rPr>
          <w:rFonts w:ascii="Calibri" w:hAnsi="Calibri"/>
          <w:i w:val="0"/>
          <w:color w:val="1E1E1E"/>
          <w:sz w:val="22"/>
        </w:rPr>
        <w:t>To be Malaysia’s premier, most responsive multi-disciplinary infrastructure solutions orchestrator—redefining mega-project delivery through focused management and unmatched elite alliance partnerships.</w:t>
      </w:r>
    </w:p>
    <w:p>
      <w:pPr>
        <w:keepNext/>
        <w:spacing w:before="240" w:after="80"/>
      </w:pPr>
      <w:r>
        <w:rPr>
          <w:rFonts w:ascii="Calibri" w:hAnsi="Calibri"/>
          <w:b/>
          <w:color w:val="5A6B7C"/>
          <w:sz w:val="26"/>
        </w:rPr>
        <w:t>Mission</w:t>
      </w:r>
    </w:p>
    <w:p>
      <w:pPr>
        <w:spacing w:after="120" w:line="276" w:lineRule="auto"/>
      </w:pPr>
      <w:r>
        <w:rPr>
          <w:rFonts w:ascii="Calibri" w:hAnsi="Calibri"/>
          <w:i w:val="0"/>
          <w:color w:val="1E1E1E"/>
          <w:sz w:val="22"/>
        </w:rPr>
        <w:t>• For Property Developers &amp; Authorities: To deploy fully compliant engineering, waterworks, and protective ecosystems through a single, highly accountable PMO channel.</w:t>
        <w:br/>
        <w:t>• For Our Strategic Partners: To accelerate commercial market reach and systematically capture tier-1 high-value project scopes via structured, non-circumventing collaborative alliances.</w:t>
      </w:r>
    </w:p>
    <w:p>
      <w:pPr>
        <w:keepNext/>
        <w:spacing w:before="360" w:after="120"/>
      </w:pPr>
      <w:r>
        <w:rPr>
          <w:rFonts w:ascii="Calibri" w:hAnsi="Calibri"/>
          <w:b/>
          <w:color w:val="0C2340"/>
          <w:sz w:val="32"/>
        </w:rPr>
        <w:t>4. Official Corporate Details</w:t>
      </w:r>
    </w:p>
    <w:tbl>
      <w:tblPr>
        <w:tblStyle w:val="LightShading-Accent1"/>
        <w:tblW w:type="auto" w:w="0"/>
        <w:tblLook w:firstColumn="1" w:firstRow="1" w:lastColumn="0" w:lastRow="0" w:noHBand="0" w:noVBand="1" w:val="04A0"/>
      </w:tblPr>
      <w:tblGrid>
        <w:gridCol w:w="4680"/>
        <w:gridCol w:w="4680"/>
      </w:tblGrid>
      <w:tr>
        <w:tc>
          <w:tcPr>
            <w:tcW w:type="dxa" w:w="4680"/>
          </w:tcPr>
          <w:p>
            <w:r>
              <w:t>Registered Business Name</w:t>
            </w:r>
          </w:p>
        </w:tc>
        <w:tc>
          <w:tcPr>
            <w:tcW w:type="dxa" w:w="4680"/>
          </w:tcPr>
          <w:p>
            <w:r>
              <w:t>SMB Venture</w:t>
            </w:r>
          </w:p>
        </w:tc>
      </w:tr>
      <w:tr>
        <w:tc>
          <w:tcPr>
            <w:tcW w:type="dxa" w:w="4680"/>
          </w:tcPr>
          <w:p>
            <w:r>
              <w:t>Company Registration No.</w:t>
            </w:r>
          </w:p>
        </w:tc>
        <w:tc>
          <w:tcPr>
            <w:tcW w:type="dxa" w:w="4680"/>
          </w:tcPr>
          <w:p>
            <w:r>
              <w:t>[Insert Enterprise MyCoID Number]</w:t>
            </w:r>
          </w:p>
        </w:tc>
      </w:tr>
      <w:tr>
        <w:tc>
          <w:tcPr>
            <w:tcW w:type="dxa" w:w="4680"/>
          </w:tcPr>
          <w:p>
            <w:r>
              <w:t>Corporate Structure</w:t>
            </w:r>
          </w:p>
        </w:tc>
        <w:tc>
          <w:tcPr>
            <w:tcW w:type="dxa" w:w="4680"/>
          </w:tcPr>
          <w:p>
            <w:r>
              <w:t>Malaysian Registered Enterprise (Consortium Lead)</w:t>
            </w:r>
          </w:p>
        </w:tc>
      </w:tr>
      <w:tr>
        <w:tc>
          <w:tcPr>
            <w:tcW w:type="dxa" w:w="4680"/>
          </w:tcPr>
          <w:p>
            <w:r>
              <w:t>Primary Business Focus</w:t>
            </w:r>
          </w:p>
        </w:tc>
        <w:tc>
          <w:tcPr>
            <w:tcW w:type="dxa" w:w="4680"/>
          </w:tcPr>
          <w:p>
            <w:r>
              <w:t>Project Management Office (PMO) / Turnkey Infrastructure Infrastructure</w:t>
            </w:r>
          </w:p>
        </w:tc>
      </w:tr>
      <w:tr>
        <w:tc>
          <w:tcPr>
            <w:tcW w:type="dxa" w:w="4680"/>
          </w:tcPr>
          <w:p>
            <w:r>
              <w:t>Registered Address</w:t>
            </w:r>
          </w:p>
        </w:tc>
        <w:tc>
          <w:tcPr>
            <w:tcW w:type="dxa" w:w="4680"/>
          </w:tcPr>
          <w:p>
            <w:r>
              <w:t>[Insert Legal Company Secretary Office Address]</w:t>
            </w:r>
          </w:p>
        </w:tc>
      </w:tr>
      <w:tr>
        <w:tc>
          <w:tcPr>
            <w:tcW w:type="dxa" w:w="4680"/>
          </w:tcPr>
          <w:p>
            <w:r>
              <w:t>Operations Head Office</w:t>
            </w:r>
          </w:p>
        </w:tc>
        <w:tc>
          <w:tcPr>
            <w:tcW w:type="dxa" w:w="4680"/>
          </w:tcPr>
          <w:p>
            <w:r>
              <w:t>[Insert Main Business Address]</w:t>
            </w:r>
          </w:p>
        </w:tc>
      </w:tr>
      <w:tr>
        <w:tc>
          <w:tcPr>
            <w:tcW w:type="dxa" w:w="4680"/>
          </w:tcPr>
          <w:p>
            <w:r>
              <w:t>Primary Bankers</w:t>
            </w:r>
          </w:p>
        </w:tc>
        <w:tc>
          <w:tcPr>
            <w:tcW w:type="dxa" w:w="4680"/>
          </w:tcPr>
          <w:p>
            <w:r>
              <w:t>[Insert Corporate Bank Name and Account Number]</w:t>
            </w:r>
          </w:p>
        </w:tc>
      </w:tr>
      <w:tr>
        <w:tc>
          <w:tcPr>
            <w:tcW w:type="dxa" w:w="4680"/>
          </w:tcPr>
          <w:p>
            <w:r>
              <w:t>Key Regulatory Alignments</w:t>
            </w:r>
          </w:p>
        </w:tc>
        <w:tc>
          <w:tcPr>
            <w:tcW w:type="dxa" w:w="4680"/>
          </w:tcPr>
          <w:p>
            <w:r>
              <w:t>SSM, CIDB, SPAN, Jabatan Bomba dan Penyelamat Malaysia</w:t>
            </w:r>
          </w:p>
        </w:tc>
      </w:tr>
    </w:tbl>
    <w:p>
      <w:pPr>
        <w:keepNext/>
        <w:spacing w:before="360" w:after="120"/>
      </w:pPr>
      <w:r>
        <w:rPr>
          <w:rFonts w:ascii="Calibri" w:hAnsi="Calibri"/>
          <w:b/>
          <w:color w:val="0C2340"/>
          <w:sz w:val="32"/>
        </w:rPr>
        <w:t>5. The SMB Venture Strategic Ecosystem</w:t>
      </w:r>
    </w:p>
    <w:p>
      <w:pPr>
        <w:spacing w:after="120" w:line="276" w:lineRule="auto"/>
      </w:pPr>
      <w:r>
        <w:rPr>
          <w:rFonts w:ascii="Calibri" w:hAnsi="Calibri"/>
          <w:i w:val="0"/>
          <w:color w:val="1E1E1E"/>
          <w:sz w:val="22"/>
        </w:rPr>
        <w:t>By centralizing professional corporate credentials, specialized machinery networks, and regulatory licenses under the unified management of SMB Venture, our alliance presents a robust, highly capable commercial delivery model:</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Core Capability Vertical</w:t>
            </w:r>
          </w:p>
        </w:tc>
        <w:tc>
          <w:tcPr>
            <w:tcW w:type="dxa" w:w="3120"/>
          </w:tcPr>
          <w:p>
            <w:r>
              <w:t>Consortium Executive Partner</w:t>
            </w:r>
          </w:p>
        </w:tc>
        <w:tc>
          <w:tcPr>
            <w:tcW w:type="dxa" w:w="3120"/>
          </w:tcPr>
          <w:p>
            <w:r>
              <w:t>Strategic Execution Value to Client</w:t>
            </w:r>
          </w:p>
        </w:tc>
      </w:tr>
      <w:tr>
        <w:tc>
          <w:tcPr>
            <w:tcW w:type="dxa" w:w="3120"/>
          </w:tcPr>
          <w:p>
            <w:r>
              <w:t>Civil &amp; Structural Engineering</w:t>
            </w:r>
          </w:p>
        </w:tc>
        <w:tc>
          <w:tcPr>
            <w:tcW w:type="dxa" w:w="3120"/>
          </w:tcPr>
          <w:p>
            <w:r>
              <w:t>JPT Consulting Engineering Sdn Bhd</w:t>
            </w:r>
          </w:p>
        </w:tc>
        <w:tc>
          <w:tcPr>
            <w:tcW w:type="dxa" w:w="3120"/>
          </w:tcPr>
          <w:p>
            <w:r>
              <w:t>Front-end engineering design (FEED), structural integrity calculations, blueprint endorsements, and statutory local authority planning submissions.</w:t>
            </w:r>
          </w:p>
        </w:tc>
      </w:tr>
      <w:tr>
        <w:tc>
          <w:tcPr>
            <w:tcW w:type="dxa" w:w="3120"/>
          </w:tcPr>
          <w:p>
            <w:r>
              <w:t>Physical &amp; Corporate Security</w:t>
            </w:r>
          </w:p>
        </w:tc>
        <w:tc>
          <w:tcPr>
            <w:tcW w:type="dxa" w:w="3120"/>
          </w:tcPr>
          <w:p>
            <w:r>
              <w:t>Prisma Senada Sdn Bhd</w:t>
            </w:r>
          </w:p>
        </w:tc>
        <w:tc>
          <w:tcPr>
            <w:tcW w:type="dxa" w:w="3120"/>
          </w:tcPr>
          <w:p>
            <w:r>
              <w:t>Mobilization of licensed guard forces, deployment of physical surveillance networks, infrastructure asset protection, and risk assessment audits.</w:t>
            </w:r>
          </w:p>
        </w:tc>
      </w:tr>
      <w:tr>
        <w:tc>
          <w:tcPr>
            <w:tcW w:type="dxa" w:w="3120"/>
          </w:tcPr>
          <w:p>
            <w:r>
              <w:t>Material Supply Chain</w:t>
            </w:r>
          </w:p>
        </w:tc>
        <w:tc>
          <w:tcPr>
            <w:tcW w:type="dxa" w:w="3120"/>
          </w:tcPr>
          <w:p>
            <w:r>
              <w:t>Newflo Corporation Sdn Bhd</w:t>
            </w:r>
          </w:p>
        </w:tc>
        <w:tc>
          <w:tcPr>
            <w:tcW w:type="dxa" w:w="3120"/>
          </w:tcPr>
          <w:p>
            <w:r>
              <w:t>Direct procurement and bulk factory distribution of certified waterworks fittings, industrial valves, and active fire fighting materials at manufacturer pricing.</w:t>
            </w:r>
          </w:p>
        </w:tc>
      </w:tr>
      <w:tr>
        <w:tc>
          <w:tcPr>
            <w:tcW w:type="dxa" w:w="3120"/>
          </w:tcPr>
          <w:p>
            <w:r>
              <w:t>Infrastructure Construction</w:t>
            </w:r>
          </w:p>
        </w:tc>
        <w:tc>
          <w:tcPr>
            <w:tcW w:type="dxa" w:w="3120"/>
          </w:tcPr>
          <w:p>
            <w:r>
              <w:t>Daun Rimbun Sdn Bhd</w:t>
            </w:r>
          </w:p>
        </w:tc>
        <w:tc>
          <w:tcPr>
            <w:tcW w:type="dxa" w:w="3120"/>
          </w:tcPr>
          <w:p>
            <w:r>
              <w:t>Heavy deployment of engineering machinery, institutional waterworks pipe-laying, mechanical contracting, and SPAN-compliant system handovers.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