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rFonts w:ascii="Arial" w:hAnsi="Arial"/>
          <w:b/>
          <w:color w:val="003366"/>
          <w:sz w:val="56"/>
        </w:rPr>
        <w:t>SMB VENTURE</w:t>
      </w:r>
    </w:p>
    <w:p>
      <w:pPr>
        <w:spacing w:after="720"/>
        <w:jc w:val="center"/>
      </w:pPr>
      <w:r>
        <w:rPr>
          <w:rFonts w:ascii="Arial" w:hAnsi="Arial"/>
          <w:color w:val="708090"/>
          <w:sz w:val="24"/>
        </w:rPr>
        <w:t>CORPORATE CAPABILITY PROFILE</w:t>
        <w:br/>
        <w:t>Master Consortium &amp; Project Management Office (PMO)</w:t>
      </w:r>
    </w:p>
    <w:p>
      <w:pPr>
        <w:keepNext/>
        <w:spacing w:before="360" w:after="120"/>
      </w:pPr>
      <w:r>
        <w:rPr>
          <w:rFonts w:ascii="Arial" w:hAnsi="Arial"/>
          <w:b/>
          <w:color w:val="003366"/>
          <w:sz w:val="36"/>
        </w:rPr>
        <w:t>1. Executive Summary</w:t>
      </w:r>
    </w:p>
    <w:p>
      <w:pPr>
        <w:spacing w:after="160"/>
      </w:pPr>
      <w:r>
        <w:rPr>
          <w:rFonts w:ascii="Arial" w:hAnsi="Arial"/>
          <w:color w:val="333333"/>
          <w:sz w:val="21"/>
        </w:rPr>
        <w:t>SMB Venture operates as a sophisticated, high-leverage Project Management Office (PMO) and Master Consortium Lead. Moving away from traditional, overhead-heavy operational structures, SMB Venture champions an agile, hyper-efficient Strategic Consortium Model. We act as the single strategic point of contact for property developers, corporate entities, and public authorities across Malaysia—seamlessly integrating multi-disciplinary technical capabilities under a unified management framework.</w:t>
      </w:r>
    </w:p>
    <w:p>
      <w:pPr>
        <w:keepNext/>
        <w:spacing w:before="240" w:after="120"/>
      </w:pPr>
      <w:r>
        <w:rPr>
          <w:rFonts w:ascii="Arial" w:hAnsi="Arial"/>
          <w:b/>
          <w:color w:val="003366"/>
          <w:sz w:val="36"/>
        </w:rPr>
        <w:t>2. Strategic Intent</w:t>
      </w:r>
    </w:p>
    <w:p>
      <w:pPr>
        <w:spacing w:after="120"/>
      </w:pPr>
      <w:r>
        <w:rPr>
          <w:rFonts w:ascii="Arial" w:hAnsi="Arial"/>
          <w:b/>
          <w:sz w:val="21"/>
        </w:rPr>
        <w:t xml:space="preserve">Vision: </w:t>
      </w:r>
      <w:r>
        <w:rPr>
          <w:rFonts w:ascii="Arial" w:hAnsi="Arial"/>
          <w:sz w:val="21"/>
        </w:rPr>
        <w:t>To be Malaysia's premier multi-disciplinary infrastructure solutions orchestrator, redefining project execution efficiency by bridging top-tier technical expertise with seamless, compliant delivery.</w:t>
      </w:r>
    </w:p>
    <w:p>
      <w:pPr>
        <w:spacing w:after="240"/>
      </w:pPr>
      <w:r>
        <w:rPr>
          <w:rFonts w:ascii="Arial" w:hAnsi="Arial"/>
          <w:b/>
          <w:sz w:val="21"/>
        </w:rPr>
        <w:t xml:space="preserve">Mission: </w:t>
      </w:r>
      <w:r>
        <w:rPr>
          <w:rFonts w:ascii="Arial" w:hAnsi="Arial"/>
          <w:sz w:val="21"/>
        </w:rPr>
        <w:t>To deliver institutional-grade engineering, waterworks, fire protection, and asset safety solutions while eliminating operational friction, mitigating legal liabilities, and accelerating regulatory handovers for our clients.</w:t>
      </w:r>
    </w:p>
    <w:p>
      <w:pPr>
        <w:keepNext/>
        <w:spacing w:before="240" w:after="120"/>
      </w:pPr>
      <w:r>
        <w:rPr>
          <w:rFonts w:ascii="Arial" w:hAnsi="Arial"/>
          <w:b/>
          <w:color w:val="003366"/>
          <w:sz w:val="36"/>
        </w:rPr>
        <w:t>3. Corporate Identity &amp; Baseline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Registered Business Name</w:t>
            </w:r>
          </w:p>
        </w:tc>
        <w:tc>
          <w:tcPr>
            <w:tcW w:type="dxa" w:w="619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SMB Venture</w:t>
            </w:r>
          </w:p>
        </w:tc>
      </w:tr>
      <w:tr>
        <w:tc>
          <w:tcPr>
            <w:tcW w:type="dxa" w:w="3168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Company Registration No.</w:t>
            </w:r>
          </w:p>
        </w:tc>
        <w:tc>
          <w:tcPr>
            <w:tcW w:type="dxa" w:w="619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[Insert Enterprise MyCoID Number Here]</w:t>
            </w:r>
          </w:p>
        </w:tc>
      </w:tr>
      <w:tr>
        <w:tc>
          <w:tcPr>
            <w:tcW w:type="dxa" w:w="3168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Primary Business Structure</w:t>
            </w:r>
          </w:p>
        </w:tc>
        <w:tc>
          <w:tcPr>
            <w:tcW w:type="dxa" w:w="619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Enterprise (Operating via Corporate Consortium Framework)</w:t>
            </w:r>
          </w:p>
        </w:tc>
      </w:tr>
      <w:tr>
        <w:tc>
          <w:tcPr>
            <w:tcW w:type="dxa" w:w="3168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Registered Operational Office</w:t>
            </w:r>
          </w:p>
        </w:tc>
        <w:tc>
          <w:tcPr>
            <w:tcW w:type="dxa" w:w="619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[Insert Main Business Address Here]</w:t>
            </w:r>
          </w:p>
        </w:tc>
      </w:tr>
      <w:tr>
        <w:tc>
          <w:tcPr>
            <w:tcW w:type="dxa" w:w="3168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Core Functional Verticals</w:t>
            </w:r>
          </w:p>
        </w:tc>
        <w:tc>
          <w:tcPr>
            <w:tcW w:type="dxa" w:w="619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Engineering Consultation, Infrastructure Construction, Waterworks &amp; Plumbing, Fire Protection, Security Management</w:t>
            </w:r>
          </w:p>
        </w:tc>
      </w:tr>
      <w:tr>
        <w:tc>
          <w:tcPr>
            <w:tcW w:type="dxa" w:w="3168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Primary Corporate Bankers</w:t>
            </w:r>
          </w:p>
        </w:tc>
        <w:tc>
          <w:tcPr>
            <w:tcW w:type="dxa" w:w="619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[Insert Bank Name &amp; Account Details]</w:t>
            </w:r>
          </w:p>
        </w:tc>
      </w:tr>
      <w:tr>
        <w:tc>
          <w:tcPr>
            <w:tcW w:type="dxa" w:w="3168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Regulatory Alignments</w:t>
            </w:r>
          </w:p>
        </w:tc>
        <w:tc>
          <w:tcPr>
            <w:tcW w:type="dxa" w:w="619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20"/>
              </w:rPr>
              <w:t>SSM, CIDB, SPAN, Jabatan Bomba dan Penyelamat Malaysia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03366"/>
          <w:sz w:val="36"/>
        </w:rPr>
        <w:t>4. The Allied Strategic Ecosystem Grid</w:t>
      </w:r>
    </w:p>
    <w:p>
      <w:pPr>
        <w:spacing w:after="160"/>
      </w:pPr>
      <w:r>
        <w:rPr>
          <w:rFonts w:ascii="Arial" w:hAnsi="Arial"/>
          <w:sz w:val="21"/>
        </w:rPr>
        <w:t>To confidently bid for large-scale developments, SMB Venture deploys a formal consortium structure backed by exclusive inter-company alliances. This framework provides the exact corporate machinery and regulatory licenses required to scale execution seamlessly: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Functional Arm</w:t>
            </w:r>
          </w:p>
        </w:tc>
        <w:tc>
          <w:tcPr>
            <w:tcW w:type="dxa" w:w="3120"/>
            <w:shd w:fill="003366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Exclusive Technical Partner</w:t>
            </w:r>
          </w:p>
        </w:tc>
        <w:tc>
          <w:tcPr>
            <w:tcW w:type="dxa" w:w="3120"/>
            <w:shd w:fill="003366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Operational Deliverables &amp; Capabilities</w:t>
            </w:r>
          </w:p>
        </w:tc>
      </w:tr>
      <w:tr>
        <w:tc>
          <w:tcPr>
            <w:tcW w:type="dxa" w:w="259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Civil &amp; Structural Engineering</w:t>
            </w:r>
          </w:p>
        </w:tc>
        <w:tc>
          <w:tcPr>
            <w:tcW w:type="dxa" w:w="2880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JPT Consulting Engineering Sdn Bhd</w:t>
            </w:r>
          </w:p>
        </w:tc>
        <w:tc>
          <w:tcPr>
            <w:tcW w:type="dxa" w:w="3888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Front-end engineering design (FEED), structural blueprint endorsements, and statutory authority planning submissions.</w:t>
            </w:r>
          </w:p>
        </w:tc>
      </w:tr>
      <w:tr>
        <w:tc>
          <w:tcPr>
            <w:tcW w:type="dxa" w:w="259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Physical &amp; Corporate Security</w:t>
            </w:r>
          </w:p>
        </w:tc>
        <w:tc>
          <w:tcPr>
            <w:tcW w:type="dxa" w:w="2880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Prisma Senada Sdn Bhd</w:t>
            </w:r>
          </w:p>
        </w:tc>
        <w:tc>
          <w:tcPr>
            <w:tcW w:type="dxa" w:w="3888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Deployment of licensed guard forces, strategic asset safety protocols, multi-point surveillance infrastructure, and site risk management.</w:t>
            </w:r>
          </w:p>
        </w:tc>
      </w:tr>
      <w:tr>
        <w:tc>
          <w:tcPr>
            <w:tcW w:type="dxa" w:w="259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Material Supply Chain</w:t>
            </w:r>
          </w:p>
        </w:tc>
        <w:tc>
          <w:tcPr>
            <w:tcW w:type="dxa" w:w="2880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Newflo Corporation Sdn Bhd</w:t>
            </w:r>
          </w:p>
        </w:tc>
        <w:tc>
          <w:tcPr>
            <w:tcW w:type="dxa" w:w="3888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Direct-factory procurement and bulk distribution of certified waterworks fittings, high-pressure valves, and fire safety gear at distributor pricing.</w:t>
            </w:r>
          </w:p>
        </w:tc>
      </w:tr>
      <w:tr>
        <w:tc>
          <w:tcPr>
            <w:tcW w:type="dxa" w:w="2592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Infrastructure Construction</w:t>
            </w:r>
          </w:p>
        </w:tc>
        <w:tc>
          <w:tcPr>
            <w:tcW w:type="dxa" w:w="2880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Daun Rimbun Sdn Bhd</w:t>
            </w:r>
          </w:p>
        </w:tc>
        <w:tc>
          <w:tcPr>
            <w:tcW w:type="dxa" w:w="3888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Heavy machinery deployment, main pipeline laying, bulk waterworks construction, and active technical engineering execution.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03366"/>
          <w:sz w:val="36"/>
        </w:rPr>
        <w:t>5. Functional Contracting Architecture</w:t>
      </w:r>
    </w:p>
    <w:p>
      <w:r>
        <w:rPr>
          <w:rFonts w:ascii="Arial" w:hAnsi="Arial"/>
          <w:color w:val="333333"/>
          <w:sz w:val="21"/>
        </w:rPr>
        <w:t>1. Contractual Mechanics: Depending on vendor pre-qualification guidelines, projects are formally signed either through the respective licensed limited liability partner (e.g., Daun Rimbun Sdn Bhd for G7 infrastructure, JPT for consultancies) or directly under SMB Venture.</w:t>
        <w:br/>
        <w:t>2. Management Integration: SMB Venture remains integrated within the delivery cycle as the appointed Project Management Office (PMO), steering timeline coordination, risk controls, financial pacing, and centralized client representation.</w:t>
        <w:br/>
        <w:t>3. Quality Assurance: All materials and civil methodologies strictly comply with SIRIM, CIDB, SPAN, and Jabatan Bomba dan Penyelamat Malaysia standards, ensuring friction-free handovers to asset owners.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