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6B6D4"/>
          <w:sz w:val="40"/>
        </w:rPr>
        <w:t>EVALUASI USABILITY</w:t>
      </w:r>
    </w:p>
    <w:p>
      <w:pPr>
        <w:jc w:val="center"/>
      </w:pPr>
      <w:r>
        <w:rPr>
          <w:b/>
          <w:sz w:val="28"/>
        </w:rPr>
        <w:t>Aplikasi AI Agent DFIR</w:t>
        <w:br/>
        <w:t>Menggunakan Keystroke-Level Model (KLM) dan Heuristik Nielsen</w:t>
      </w:r>
    </w:p>
    <w:p/>
    <w:p>
      <w:pPr>
        <w:jc w:val="center"/>
      </w:pPr>
      <w:r>
        <w:rPr>
          <w:sz w:val="22"/>
        </w:rPr>
        <w:t>Muhammad Faki Raihan  |  NPM 2221101820</w:t>
        <w:br/>
        <w:t>Program Studi Rekayasa Kriptografi</w:t>
        <w:br/>
        <w:t>Politeknik Siber dan Sandi Negara</w:t>
        <w:br/>
        <w:t>Tanggal Evaluasi: 02 June 2026</w:t>
      </w:r>
    </w:p>
    <w:p>
      <w:r>
        <w:br w:type="page"/>
      </w:r>
    </w:p>
    <w:p>
      <w:pPr>
        <w:pStyle w:val="Heading1"/>
      </w:pPr>
      <w:r>
        <w:rPr>
          <w:color w:val="06B6D4"/>
        </w:rPr>
        <w:t>BAGIAN 1 — PENDAHULUAN</w:t>
      </w:r>
    </w:p>
    <w:p>
      <w:pPr>
        <w:pStyle w:val="Heading2"/>
      </w:pPr>
      <w:r>
        <w:t>1.1 Latar Belakang Evaluasi</w:t>
      </w:r>
    </w:p>
    <w:p>
      <w:r>
        <w:rPr>
          <w:i w:val="0"/>
          <w:sz w:val="22"/>
        </w:rPr>
        <w:t>Evaluasi usability ini dilakukan terhadap aplikasi AI Agent DFIR (Digital Forensics &amp; Incident Response) sebagai bagian dari tugas terstruktur di luar Tugas Akhir. Tujuan evaluasi adalah mengidentifikasi efisiensi interaksi pengguna dan masalah usability pada antarmuka web aplikasi yang telah dibangun.</w:t>
      </w:r>
    </w:p>
    <w:p>
      <w:r>
        <w:rPr>
          <w:i w:val="0"/>
          <w:sz w:val="22"/>
        </w:rPr>
        <w:t>Dua metode evaluasi digunakan secara komplementer: (1) Keystroke-Level Model (KLM) untuk mengkuantifikasi waktu penyelesaian tugas dari sudut pandang interaksi fisik, dan (2) Evaluasi Heuristik Nielsen untuk mengidentifikasi masalah desain secara kualitatif berdasarkan 10 prinsip usability universal.</w:t>
      </w:r>
    </w:p>
    <w:p>
      <w:pPr>
        <w:pStyle w:val="Heading2"/>
      </w:pPr>
      <w:r>
        <w:t>1.2 Deskripsi Aplikasi</w:t>
      </w:r>
    </w:p>
    <w:p>
      <w:r>
        <w:rPr>
          <w:i w:val="0"/>
          <w:sz w:val="22"/>
        </w:rPr>
        <w:t>AI Agent DFIR adalah sistem investigasi insiden siber berbasis web yang mengotomatisasi alur DFIR dari parsing log hingga laporan ancaman. Sistem dibangun dengan:</w:t>
      </w:r>
    </w:p>
    <w:p>
      <w:pPr>
        <w:pStyle w:val="ListBullet"/>
      </w:pPr>
      <w:r>
        <w:rPr>
          <w:sz w:val="22"/>
        </w:rPr>
        <w:t>Frontend: React 18 + Material UI v5 (Vite 5)</w:t>
      </w:r>
    </w:p>
    <w:p>
      <w:pPr>
        <w:pStyle w:val="ListBullet"/>
      </w:pPr>
      <w:r>
        <w:rPr>
          <w:sz w:val="22"/>
        </w:rPr>
        <w:t>Backend: FastAPI + LangGraph + Python 3.10+</w:t>
      </w:r>
    </w:p>
    <w:p>
      <w:pPr>
        <w:pStyle w:val="ListBullet"/>
      </w:pPr>
      <w:r>
        <w:rPr>
          <w:sz w:val="22"/>
        </w:rPr>
        <w:t>AI/ML: Foundation-Sec-8B (LLM), DeepLog LSTM (anomaly detection), Drain (log parsing)</w:t>
      </w:r>
    </w:p>
    <w:p>
      <w:pPr>
        <w:pStyle w:val="ListBullet"/>
      </w:pPr>
      <w:r>
        <w:rPr>
          <w:sz w:val="22"/>
        </w:rPr>
        <w:t>Threat Intel: 6 API eksternal (VirusTotal, OTX, ThreatFox, GreyNoise, URLHaus, MalwareBazaar)</w:t>
      </w:r>
    </w:p>
    <w:p>
      <w:r>
        <w:rPr>
          <w:i w:val="0"/>
          <w:sz w:val="22"/>
        </w:rPr>
        <w:t>Antarmuka terdiri dari lima halaman utama: HeroLanding (landing page), UploadPage, InvestigationPage, ReportDashboard, dan SettingsPage (konfigurasi LLM).</w:t>
      </w:r>
    </w:p>
    <w:p>
      <w:pPr>
        <w:pStyle w:val="Heading2"/>
      </w:pPr>
      <w:r>
        <w:t>1.3 Profil Pengguna Target</w:t>
      </w:r>
    </w:p>
    <w:tbl>
      <w:tblPr>
        <w:tblStyle w:val="TableGrid"/>
        <w:tblW w:type="auto" w:w="0"/>
        <w:tblLook w:firstColumn="1" w:firstRow="1" w:lastColumn="0" w:lastRow="0" w:noHBand="0" w:noVBand="1" w:val="04A0"/>
      </w:tblPr>
      <w:tblGrid>
        <w:gridCol w:w="4561"/>
        <w:gridCol w:w="4561"/>
      </w:tblGrid>
      <w:tr>
        <w:tc>
          <w:tcPr>
            <w:tcW w:type="dxa" w:w="456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Aspek</w:t>
            </w:r>
          </w:p>
        </w:tc>
        <w:tc>
          <w:tcPr>
            <w:tcW w:type="dxa" w:w="456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Detail</w:t>
            </w:r>
          </w:p>
        </w:tc>
      </w:tr>
      <w:tr>
        <w:tc>
          <w:tcPr>
            <w:tcW w:type="dxa" w:w="4561"/>
            <w:shd w:val="clear" w:color="auto" w:fill="FFFFFF"/>
            <w:tcBorders>
              <w:top w:val="single" w:sz="2" w:color="CBD5E1"/>
              <w:left w:val="single" w:sz="2" w:color="CBD5E1"/>
              <w:bottom w:val="single" w:sz="2" w:color="CBD5E1"/>
              <w:right w:val="single" w:sz="2" w:color="CBD5E1"/>
            </w:tcBorders>
          </w:tcPr>
          <w:p>
            <w:pPr>
              <w:jc w:val="left"/>
            </w:pPr>
            <w:r/>
            <w:r>
              <w:rPr>
                <w:b/>
                <w:sz w:val="20"/>
              </w:rPr>
              <w:t>Profil pengguna</w:t>
            </w:r>
          </w:p>
        </w:tc>
        <w:tc>
          <w:tcPr>
            <w:tcW w:type="dxa" w:w="4561"/>
            <w:shd w:val="clear" w:color="auto" w:fill="FFFFFF"/>
            <w:tcBorders>
              <w:top w:val="single" w:sz="2" w:color="CBD5E1"/>
              <w:left w:val="single" w:sz="2" w:color="CBD5E1"/>
              <w:bottom w:val="single" w:sz="2" w:color="CBD5E1"/>
              <w:right w:val="single" w:sz="2" w:color="CBD5E1"/>
            </w:tcBorders>
          </w:tcPr>
          <w:p>
            <w:pPr>
              <w:jc w:val="left"/>
            </w:pPr>
            <w:r/>
            <w:r>
              <w:rPr>
                <w:b w:val="0"/>
                <w:sz w:val="20"/>
              </w:rPr>
              <w:t>Mahasiswa cybersecurity dengan pengetahuan teknis dasar</w:t>
            </w:r>
          </w:p>
        </w:tc>
      </w:tr>
      <w:tr>
        <w:tc>
          <w:tcPr>
            <w:tcW w:type="dxa" w:w="4561"/>
            <w:shd w:val="clear" w:color="auto" w:fill="F1F5F9"/>
            <w:tcBorders>
              <w:top w:val="single" w:sz="2" w:color="CBD5E1"/>
              <w:left w:val="single" w:sz="2" w:color="CBD5E1"/>
              <w:bottom w:val="single" w:sz="2" w:color="CBD5E1"/>
              <w:right w:val="single" w:sz="2" w:color="CBD5E1"/>
            </w:tcBorders>
          </w:tcPr>
          <w:p>
            <w:pPr>
              <w:jc w:val="left"/>
            </w:pPr>
            <w:r/>
            <w:r>
              <w:rPr>
                <w:b/>
                <w:sz w:val="20"/>
              </w:rPr>
              <w:t>Lingkungan kerja</w:t>
            </w:r>
          </w:p>
        </w:tc>
        <w:tc>
          <w:tcPr>
            <w:tcW w:type="dxa" w:w="4561"/>
            <w:shd w:val="clear" w:color="auto" w:fill="F1F5F9"/>
            <w:tcBorders>
              <w:top w:val="single" w:sz="2" w:color="CBD5E1"/>
              <w:left w:val="single" w:sz="2" w:color="CBD5E1"/>
              <w:bottom w:val="single" w:sz="2" w:color="CBD5E1"/>
              <w:right w:val="single" w:sz="2" w:color="CBD5E1"/>
            </w:tcBorders>
          </w:tcPr>
          <w:p>
            <w:pPr>
              <w:jc w:val="left"/>
            </w:pPr>
            <w:r/>
            <w:r>
              <w:rPr>
                <w:b w:val="0"/>
                <w:sz w:val="20"/>
              </w:rPr>
              <w:t>Desktop web browser (laptop/PC, resolusi ≥ 1280×720)</w:t>
            </w:r>
          </w:p>
        </w:tc>
      </w:tr>
      <w:tr>
        <w:tc>
          <w:tcPr>
            <w:tcW w:type="dxa" w:w="4561"/>
            <w:shd w:val="clear" w:color="auto" w:fill="FFFFFF"/>
            <w:tcBorders>
              <w:top w:val="single" w:sz="2" w:color="CBD5E1"/>
              <w:left w:val="single" w:sz="2" w:color="CBD5E1"/>
              <w:bottom w:val="single" w:sz="2" w:color="CBD5E1"/>
              <w:right w:val="single" w:sz="2" w:color="CBD5E1"/>
            </w:tcBorders>
          </w:tcPr>
          <w:p>
            <w:pPr>
              <w:jc w:val="left"/>
            </w:pPr>
            <w:r/>
            <w:r>
              <w:rPr>
                <w:b/>
                <w:sz w:val="20"/>
              </w:rPr>
              <w:t>Tugas utama</w:t>
            </w:r>
          </w:p>
        </w:tc>
        <w:tc>
          <w:tcPr>
            <w:tcW w:type="dxa" w:w="4561"/>
            <w:shd w:val="clear" w:color="auto" w:fill="FFFFFF"/>
            <w:tcBorders>
              <w:top w:val="single" w:sz="2" w:color="CBD5E1"/>
              <w:left w:val="single" w:sz="2" w:color="CBD5E1"/>
              <w:bottom w:val="single" w:sz="2" w:color="CBD5E1"/>
              <w:right w:val="single" w:sz="2" w:color="CBD5E1"/>
            </w:tcBorders>
          </w:tcPr>
          <w:p>
            <w:pPr>
              <w:jc w:val="left"/>
            </w:pPr>
            <w:r/>
            <w:r>
              <w:rPr>
                <w:b w:val="0"/>
                <w:sz w:val="20"/>
              </w:rPr>
              <w:t>Investigasi insiden siber secara mandiri menggunakan antarmuka web</w:t>
            </w:r>
          </w:p>
        </w:tc>
      </w:tr>
      <w:tr>
        <w:tc>
          <w:tcPr>
            <w:tcW w:type="dxa" w:w="4561"/>
            <w:shd w:val="clear" w:color="auto" w:fill="F1F5F9"/>
            <w:tcBorders>
              <w:top w:val="single" w:sz="2" w:color="CBD5E1"/>
              <w:left w:val="single" w:sz="2" w:color="CBD5E1"/>
              <w:bottom w:val="single" w:sz="2" w:color="CBD5E1"/>
              <w:right w:val="single" w:sz="2" w:color="CBD5E1"/>
            </w:tcBorders>
          </w:tcPr>
          <w:p>
            <w:pPr>
              <w:jc w:val="left"/>
            </w:pPr>
            <w:r/>
            <w:r>
              <w:rPr>
                <w:b/>
                <w:sz w:val="20"/>
              </w:rPr>
              <w:t>Evaluator</w:t>
            </w:r>
          </w:p>
        </w:tc>
        <w:tc>
          <w:tcPr>
            <w:tcW w:type="dxa" w:w="4561"/>
            <w:shd w:val="clear" w:color="auto" w:fill="F1F5F9"/>
            <w:tcBorders>
              <w:top w:val="single" w:sz="2" w:color="CBD5E1"/>
              <w:left w:val="single" w:sz="2" w:color="CBD5E1"/>
              <w:bottom w:val="single" w:sz="2" w:color="CBD5E1"/>
              <w:right w:val="single" w:sz="2" w:color="CBD5E1"/>
            </w:tcBorders>
          </w:tcPr>
          <w:p>
            <w:pPr>
              <w:jc w:val="left"/>
            </w:pPr>
            <w:r/>
            <w:r>
              <w:rPr>
                <w:b w:val="0"/>
                <w:sz w:val="20"/>
              </w:rPr>
              <w:t>1 orang (expert walkthrough / self-evaluation)</w:t>
            </w:r>
          </w:p>
        </w:tc>
      </w:tr>
    </w:tbl>
    <w:p/>
    <w:p>
      <w:pPr>
        <w:pStyle w:val="Heading2"/>
      </w:pPr>
      <w:r>
        <w:t>1.4 Metodologi</w:t>
      </w:r>
    </w:p>
    <w:p>
      <w:r>
        <w:rPr>
          <w:i w:val="0"/>
          <w:sz w:val="22"/>
        </w:rPr>
        <w:t>Evaluasi menggunakan dua metode yang saling melengkapi:</w:t>
      </w:r>
    </w:p>
    <w:p>
      <w:pPr>
        <w:pStyle w:val="ListBullet"/>
      </w:pPr>
      <w:r>
        <w:rPr>
          <w:sz w:val="22"/>
        </w:rPr>
        <w:t>KLM Standar — Operator K (Keystroke), P (Pointing), H (Homing), M (Mental), D (Drawing), R (Response time) digunakan untuk mengestimasi waktu penyelesaian tugas tanpa menjalankan usability test sesungguhnya.</w:t>
      </w:r>
    </w:p>
    <w:p>
      <w:pPr>
        <w:pStyle w:val="ListBullet"/>
      </w:pPr>
      <w:r>
        <w:rPr>
          <w:sz w:val="22"/>
        </w:rPr>
        <w:t>Evaluasi Heuristik Nielsen — Expert walkthrough oleh 1 evaluator menggunakan 10 heuristik Jakob Nielsen. Temuan diberi rating severity menggunakan skala Likert 1–5. Rekomendasi perbaikan hanya diberikan untuk temuan dengan severity ≥ 3.</w:t>
      </w:r>
    </w:p>
    <w:p>
      <w:pPr>
        <w:pStyle w:val="Heading2"/>
      </w:pPr>
      <w:r>
        <w:t>1.5 Batasan Evaluasi</w:t>
      </w:r>
    </w:p>
    <w:p>
      <w:pPr>
        <w:spacing w:before="80" w:after="80"/>
        <w:ind w:left="283" w:right="283"/>
      </w:pPr>
      <w:r>
        <w:rPr>
          <w:i/>
          <w:sz w:val="20"/>
        </w:rPr>
        <w:t>📌  Karena evaluasi dilakukan oleh 1 evaluator, temuan heuristik bersifat expert walkthrough, bukan uji pengguna (user testing) sesungguhnya. Jakob Nielsen merekomendasikan 3–5 evaluator untuk menemukan sekitar 75% masalah usability.</w:t>
      </w:r>
    </w:p>
    <w:p>
      <w:r>
        <w:rPr>
          <w:i w:val="0"/>
          <w:sz w:val="22"/>
        </w:rPr>
        <w:t>Waktu R (Response time) pada analisis KLM menggunakan nilai estimasi konservatif berdasarkan karakteristik pipeline backend (bukan pengukuran runtime aktual), dan dicatat sebagai asumsi eksplisit.</w:t>
      </w:r>
    </w:p>
    <w:p>
      <w:r>
        <w:br w:type="page"/>
      </w:r>
    </w:p>
    <w:p>
      <w:pPr>
        <w:pStyle w:val="Heading1"/>
      </w:pPr>
      <w:r>
        <w:rPr>
          <w:color w:val="06B6D4"/>
        </w:rPr>
        <w:t>BAGIAN 2 — ANALISIS KLM (KEYSTROKE-LEVEL MODEL)</w:t>
      </w:r>
    </w:p>
    <w:p>
      <w:pPr>
        <w:pStyle w:val="Heading2"/>
      </w:pPr>
      <w:r>
        <w:t>2.1 Operator dan Konstanta Waktu</w:t>
      </w:r>
    </w:p>
    <w:p>
      <w:r>
        <w:rPr>
          <w:i w:val="0"/>
          <w:sz w:val="22"/>
        </w:rPr>
        <w:t>KLM menggunakan enam operator dasar dengan konstanta waktu standar (Card, Moran &amp; Newell, 1983):</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Kode</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(detik)</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Keterangan</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K</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Keystroke</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0,20</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Menekan satu tombol keyboard</w:t>
            </w:r>
          </w:p>
        </w:tc>
      </w:tr>
      <w:tr>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sz w:val="20"/>
              </w:rPr>
              <w:t>P</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Pointing</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Memindahkan mouse ke target di layar</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H</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Homing</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0,40</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Memindahkan tangan keyboard↔mouse</w:t>
            </w:r>
          </w:p>
        </w:tc>
      </w:tr>
      <w:tr>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sz w:val="20"/>
              </w:rPr>
              <w:t>M</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Mental act</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1,35</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Persiapan mental sebelum aksi fisik</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D</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Drawing</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Tidak relevan untuk aplikasi web ini</w:t>
            </w:r>
          </w:p>
        </w:tc>
      </w:tr>
      <w:tr>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sz w:val="20"/>
              </w:rPr>
              <w:t>R</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Response time</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Diukur per task</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Waktu tunggu sistem memproses respons</w:t>
            </w:r>
          </w:p>
        </w:tc>
      </w:tr>
    </w:tbl>
    <w:p/>
    <w:p>
      <w:pPr>
        <w:pStyle w:val="Heading2"/>
      </w:pPr>
      <w:r>
        <w:t>2.2 Asumsi Evaluasi</w:t>
      </w:r>
    </w:p>
    <w:p>
      <w:pPr>
        <w:pStyle w:val="ListBullet"/>
      </w:pPr>
      <w:r>
        <w:rPr>
          <w:sz w:val="20"/>
        </w:rPr>
        <w:t>Pengguna sudah memiliki file log yang siap diupload di sistem file lokal.</w:t>
      </w:r>
    </w:p>
    <w:p>
      <w:pPr>
        <w:pStyle w:val="ListBullet"/>
      </w:pPr>
      <w:r>
        <w:rPr>
          <w:sz w:val="20"/>
        </w:rPr>
        <w:t>Browser sudah terbuka di halaman HeroLanding aplikasi (http://localhost).</w:t>
      </w:r>
    </w:p>
    <w:p>
      <w:pPr>
        <w:pStyle w:val="ListBullet"/>
      </w:pPr>
      <w:r>
        <w:rPr>
          <w:sz w:val="20"/>
        </w:rPr>
        <w:t>File log berukuran sedang (~5 MB); tidak ada masalah koneksi lokal.</w:t>
      </w:r>
    </w:p>
    <w:p>
      <w:pPr>
        <w:pStyle w:val="ListBullet"/>
      </w:pPr>
      <w:r>
        <w:rPr>
          <w:sz w:val="20"/>
        </w:rPr>
        <w:t>Waktu R untuk upload API: ±2 detik (POST /api/upload).</w:t>
      </w:r>
    </w:p>
    <w:p>
      <w:pPr>
        <w:pStyle w:val="ListBullet"/>
      </w:pPr>
      <w:r>
        <w:rPr>
          <w:sz w:val="20"/>
        </w:rPr>
        <w:t>Waktu R untuk memulai investigasi (POST /api/investigate): ±1 detik (bersifat async).</w:t>
      </w:r>
    </w:p>
    <w:p>
      <w:pPr>
        <w:pStyle w:val="ListBullet"/>
      </w:pPr>
      <w:r>
        <w:rPr>
          <w:sz w:val="20"/>
        </w:rPr>
        <w:t>Waktu R untuk pipeline investigasi penuh: ±120 detik (estimasi konservatif; proses berjalan di background).</w:t>
      </w:r>
    </w:p>
    <w:p>
      <w:pPr>
        <w:pStyle w:val="ListBullet"/>
      </w:pPr>
      <w:r>
        <w:rPr>
          <w:sz w:val="20"/>
        </w:rPr>
        <w:t>Waktu R untuk load report (GET /api/report): ±2 detik.</w:t>
      </w:r>
    </w:p>
    <w:p>
      <w:pPr>
        <w:pStyle w:val="ListBullet"/>
      </w:pPr>
      <w:r>
        <w:rPr>
          <w:sz w:val="20"/>
        </w:rPr>
        <w:t>Waktu R untuk export PDF: ±3 detik (client-side rendering).</w:t>
      </w:r>
    </w:p>
    <w:p>
      <w:pPr>
        <w:pStyle w:val="ListBullet"/>
      </w:pPr>
      <w:r>
        <w:rPr>
          <w:sz w:val="20"/>
        </w:rPr>
        <w:t>Waktu R untuk export DOCX: ±2 detik (client-side rendering).</w:t>
      </w:r>
    </w:p>
    <w:p>
      <w:pPr>
        <w:pStyle w:val="ListBullet"/>
      </w:pPr>
      <w:r>
        <w:rPr>
          <w:sz w:val="20"/>
        </w:rPr>
        <w:t>Pengguna tidak membaca konten laporan secara mendalam selama evaluasi KLM; fokus pada interaksi navigasi.</w:t>
      </w:r>
    </w:p>
    <w:p>
      <w:pPr>
        <w:pStyle w:val="ListBullet"/>
      </w:pPr>
      <w:r>
        <w:rPr>
          <w:sz w:val="20"/>
        </w:rPr>
        <w:t>Penempatan operator M mengikuti aturan Kieras-Polson: M ditempatkan sebelum P jika aksi merupakan keputusan baru; M dihapus jika merupakan gerakan otomatis dalam sekuens.</w:t>
      </w:r>
    </w:p>
    <w:p>
      <w:pPr>
        <w:pStyle w:val="Heading2"/>
      </w:pPr>
      <w:r>
        <w:t>2.2 Task T1: Upload File Log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Langkah / Deskripsi</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Kumulatif (dtk)</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Pengguna membaca halaman HeroLanding, memutuskan untuk mulai</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tombol 'Get Started' / scroll ke CTA</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2,45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tombol untuk masuk ke UploadPage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3,55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Tunggu transisi animasi halaman (fade 600ms)</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R(0.6)</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0,60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4,15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Rencanakan aksi klik area drop zone / browse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5,50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6</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area drop zone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6,60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7</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area drop zone untuk buka dialog file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7,70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8</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Tangan ke keyboard untuk navigasi dialog file (H)</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H</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0,40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8,10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9</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Mengetik nama file di kotak pencarian / navigasi folder (5 char)</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5K</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1,00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9,10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Tangan kembali ke mouse (H)</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H</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0,40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9,50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Double-click file untuk memilih</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10,60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Tunggu sistem memproses pilihan file (state update)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R(0.5)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0,50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11,10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Verifikasi nama file tampil di UI</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12,45</w:t>
            </w:r>
          </w:p>
        </w:tc>
      </w:tr>
      <w:tr>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12.45</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12.45</w:t>
            </w:r>
          </w:p>
        </w:tc>
      </w:tr>
    </w:tbl>
    <w:p/>
    <w:p>
      <w:pPr>
        <w:spacing w:before="80" w:after="80"/>
        <w:ind w:left="283" w:right="283"/>
      </w:pPr>
      <w:r>
        <w:rPr>
          <w:i/>
          <w:sz w:val="20"/>
        </w:rPr>
        <w:t>📌  Estimasi waktu Task T1: 12.45 detik (~0.2 menit). Mencakup navigasi dari landing page, klik upload, dan konfirmasi file terpilih.</w:t>
      </w:r>
    </w:p>
    <w:p>
      <w:pPr>
        <w:pStyle w:val="Heading2"/>
      </w:pPr>
      <w:r>
        <w:t>2.3 Task T2: Memulai Investigasi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Langkah / Deskripsi</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Kumulatif (dtk)</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Rencanakan klik tombol 'Start Full Investigation'</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tombol 'Start Full Investigation'</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2,45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tombol untuk memulai investigasi</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3,55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Tunggu respons API /api/upload (upload file)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R(2.0)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2,00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5,55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Tunggu respons API /api/investigate (async trigger)</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1,00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6,55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6</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Sistem redirect/transisi ke InvestigationPage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R(0.8)</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0,80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7,35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7</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Verifikasi halaman investigasi tampil dengan session ID</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8,70</w:t>
            </w:r>
          </w:p>
        </w:tc>
      </w:tr>
      <w:tr>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8.70</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8.70</w:t>
            </w:r>
          </w:p>
        </w:tc>
      </w:tr>
    </w:tbl>
    <w:p/>
    <w:p>
      <w:pPr>
        <w:spacing w:before="80" w:after="80"/>
        <w:ind w:left="283" w:right="283"/>
      </w:pPr>
      <w:r>
        <w:rPr>
          <w:i/>
          <w:sz w:val="20"/>
        </w:rPr>
        <w:t>📌  Estimasi waktu Task T2: 8.70 detik. Interaksi pengguna sangat singkat; sebagian besar waktu adalah R (response time API). Pipeline backend berjalan async di background.</w:t>
      </w:r>
    </w:p>
    <w:p>
      <w:pPr>
        <w:pStyle w:val="Heading2"/>
      </w:pPr>
      <w:r>
        <w:t>2.4 Task T3: Memantau Progress Investigasi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Langkah / Deskripsi</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Kumulatif (dtk)</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Pengguna membaca status pipeline (stepper + progress bar)</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Scroll ke bawah untuk melihat agent terminal (jika perlu)</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2,45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Tunggu polling status API (interval 1,5 detik, ~80 cycle)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R(120.0)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120,00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122,45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Perhatikan perubahan progress bar dan stepper</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123,80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Verifikasi status 'Completed' muncul di chip status</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125,15</w:t>
            </w:r>
          </w:p>
        </w:tc>
      </w:tr>
      <w:tr>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125.15</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125.15</w:t>
            </w:r>
          </w:p>
        </w:tc>
      </w:tr>
    </w:tbl>
    <w:p/>
    <w:p>
      <w:pPr>
        <w:spacing w:before="80" w:after="80"/>
        <w:ind w:left="283" w:right="283"/>
      </w:pPr>
      <w:r>
        <w:rPr>
          <w:i/>
          <w:sz w:val="20"/>
        </w:rPr>
        <w:t>📌  Estimasi waktu Task T3: 125.15 detik (~2.1 menit). Waktu ini didominasi oleh R (waktu eksekusi pipeline backend ±120 detik). Interaksi pengguna pada fase ini bersifat pasif/observasional.</w:t>
      </w:r>
    </w:p>
    <w:p>
      <w:pPr>
        <w:pStyle w:val="Heading2"/>
      </w:pPr>
      <w:r>
        <w:t>2.5 Task T4: Melihat Laporan Hasil Investigasi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Langkah / Deskripsi</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Kumulatif (dtk)</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Rencanakan navigasi ke tab laporan (laporan otomatis tampil post-complete)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Tunggu load otomatis ReportDashboard + data API /api/report</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R(2.0)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2,00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3,35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Baca tab 'Overview' (Case overview + Executive Summary)</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4,70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tab 'Detection' untuk melihat findings</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5,80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tab 'Detection'</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6,90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6</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Baca findings dan incident timeline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8,25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7</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Gerakkan mouse ke tab 'MITRE'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9,35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8</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Klik tab 'MITRE'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10,45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9</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Baca MITRE ATT&amp;CK mapping</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11,80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tab 'Appendix' untuk IOC table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12,90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tab 'Appendix'</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14,00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Baca IOC table dan methodology</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15,35</w:t>
            </w:r>
          </w:p>
        </w:tc>
      </w:tr>
      <w:tr>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15.35</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15.35</w:t>
            </w:r>
          </w:p>
        </w:tc>
      </w:tr>
    </w:tbl>
    <w:p/>
    <w:p>
      <w:pPr>
        <w:spacing w:before="80" w:after="80"/>
        <w:ind w:left="283" w:right="283"/>
      </w:pPr>
      <w:r>
        <w:rPr>
          <w:i/>
          <w:sz w:val="20"/>
        </w:rPr>
        <w:t>📌  Estimasi waktu Task T4: 15.35 detik (~0.3 menit). Waktu ini mencakup navigasi melalui 4 tab laporan utama. Waktu membaca konten aktual tidak termasuk dalam model KLM.</w:t>
      </w:r>
    </w:p>
    <w:p>
      <w:pPr>
        <w:pStyle w:val="Heading2"/>
      </w:pPr>
      <w:r>
        <w:t>2.6 Task T5: Export Laporan ke PDF</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Langkah / Deskripsi</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Operator</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Kumulatif (dtk)</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Rencanakan klik tombol 'Export Report'</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Gerakkan mouse ke tombol 'Export Report' (dropdown button)</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2,45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Klik tombol untuk membuka dropdown menu export</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3,55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Baca opsi export yang tersedia (PDF, DOCX, JSONL, dll.)</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4,90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Gerakkan mouse ke opsi 'Export PDF'</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6,00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6</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Klik 'Export PDF'</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7,10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7</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Tunggu proses render PDF (client-side, html2canvas/jspdf)</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R(3.0)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3,00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10,10</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8</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Dialog 'Save As' browser muncul</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R(0.5)</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0,50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10,60</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9</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Rencanakan nama file dan lokasi simpan</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11,95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Tangan ke keyboard untuk edit nama file (opsional, 0 K jika default)</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H</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0,40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12,35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11</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Tangan kembali ke mouse (H)</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H</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0,40</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12,75</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Klik tombol 'Save' di dialog</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P</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20"/>
              </w:rPr>
              <w:t>13,85</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Verifikasi file tersimpan (notifikasi browser)</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1,35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20"/>
              </w:rPr>
              <w:t>15,20</w:t>
            </w:r>
          </w:p>
        </w:tc>
      </w:tr>
      <w:tr>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left"/>
            </w:pPr>
            <w:r/>
            <w:r>
              <w:rPr>
                <w:b w:val="0"/>
                <w:color w:val="F8FAFC"/>
                <w:sz w:val="20"/>
              </w:rPr>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15.20</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15.20</w:t>
            </w:r>
          </w:p>
        </w:tc>
      </w:tr>
    </w:tbl>
    <w:p/>
    <w:p>
      <w:pPr>
        <w:spacing w:before="80" w:after="80"/>
        <w:ind w:left="283" w:right="283"/>
      </w:pPr>
      <w:r>
        <w:rPr>
          <w:i/>
          <w:sz w:val="20"/>
        </w:rPr>
        <w:t>📌  Estimasi waktu Task T5: 15.20 detik (~0.3 menit). Proses PDF rendering dilakukan client-side menggunakan html2canvas. Waktu R bisa bervariasi bergantung ukuran laporan.</w:t>
      </w:r>
    </w:p>
    <w:p>
      <w:pPr>
        <w:pStyle w:val="Heading2"/>
      </w:pPr>
      <w:r>
        <w:t>2.8 Tabel Ringkasan Waktu Eksekusi KLM</w:t>
      </w:r>
    </w:p>
    <w:p>
      <w:r>
        <w:rPr>
          <w:i w:val="0"/>
          <w:sz w:val="22"/>
        </w:rPr>
        <w:t>Berikut ringkasan total waktu estimasi untuk setiap task yang dievaluasi: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Task</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Nama Task</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Waktu (dtk)</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Catatan</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T1</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Upload File Log</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12.45</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Termasuk navigasi dari landing page</w:t>
            </w:r>
          </w:p>
        </w:tc>
      </w:tr>
      <w:tr>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sz w:val="20"/>
              </w:rPr>
              <w:t>T2</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Memulai Investigasi</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8.70</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Interaksi minimal; didominasi R API</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T3</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Memantau Progress Investigasi</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125.15</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Pipeline backend ±120 dtk (async)</w:t>
            </w:r>
          </w:p>
        </w:tc>
      </w:tr>
      <w:tr>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sz w:val="20"/>
              </w:rPr>
              <w:t>T4</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Melihat Laporan Hasil Investigasi</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15.35</w:t>
            </w:r>
          </w:p>
        </w:tc>
        <w:tc>
          <w:tcPr>
            <w:tcW w:type="dxa" w:w="2280"/>
            <w:shd w:val="clear" w:color="auto" w:fill="F1F5F9"/>
            <w:tcBorders>
              <w:top w:val="single" w:sz="2" w:color="CBD5E1"/>
              <w:left w:val="single" w:sz="2" w:color="CBD5E1"/>
              <w:bottom w:val="single" w:sz="2" w:color="CBD5E1"/>
              <w:right w:val="single" w:sz="2" w:color="CBD5E1"/>
            </w:tcBorders>
          </w:tcPr>
          <w:p>
            <w:pPr>
              <w:jc w:val="left"/>
            </w:pPr>
            <w:r/>
            <w:r>
              <w:rPr>
                <w:b w:val="0"/>
                <w:sz w:val="20"/>
              </w:rPr>
              <w:t>Navigasi 4 tab; tanpa baca konten</w:t>
            </w:r>
          </w:p>
        </w:tc>
      </w:tr>
      <w:tr>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sz w:val="20"/>
              </w:rPr>
              <w:t>T5</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Export Laporan ke PDF</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15.20</w:t>
            </w:r>
          </w:p>
        </w:tc>
        <w:tc>
          <w:tcPr>
            <w:tcW w:type="dxa" w:w="2280"/>
            <w:shd w:val="clear" w:color="auto" w:fill="FFFFFF"/>
            <w:tcBorders>
              <w:top w:val="single" w:sz="2" w:color="CBD5E1"/>
              <w:left w:val="single" w:sz="2" w:color="CBD5E1"/>
              <w:bottom w:val="single" w:sz="2" w:color="CBD5E1"/>
              <w:right w:val="single" w:sz="2" w:color="CBD5E1"/>
            </w:tcBorders>
          </w:tcPr>
          <w:p>
            <w:pPr>
              <w:jc w:val="left"/>
            </w:pPr>
            <w:r/>
            <w:r>
              <w:rPr>
                <w:b w:val="0"/>
                <w:sz w:val="20"/>
              </w:rPr>
              <w:t>Client-side PDF rendering</w:t>
            </w:r>
          </w:p>
        </w:tc>
      </w:tr>
      <w:tr>
        <w:tc>
          <w:tcPr>
            <w:tcW w:type="dxa" w:w="2280"/>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TOTAL</w:t>
            </w:r>
          </w:p>
        </w:tc>
        <w:tc>
          <w:tcPr>
            <w:tcW w:type="dxa" w:w="2280"/>
            <w:shd w:val="clear" w:color="auto" w:fill="1E293B"/>
            <w:tcBorders>
              <w:top w:val="single" w:sz="4" w:color="4A5568"/>
              <w:left w:val="single" w:sz="4" w:color="4A5568"/>
              <w:bottom w:val="single" w:sz="4" w:color="4A5568"/>
              <w:right w:val="single" w:sz="4" w:color="4A5568"/>
            </w:tcBorders>
          </w:tcPr>
          <w:p>
            <w:pPr>
              <w:jc w:val="left"/>
            </w:pPr>
            <w:r/>
            <w:r>
              <w:rPr>
                <w:b/>
                <w:color w:val="F8FAFC"/>
                <w:sz w:val="20"/>
              </w:rPr>
              <w:t>Semua Task (T1–T5)</w:t>
            </w:r>
          </w:p>
        </w:tc>
        <w:tc>
          <w:tcPr>
            <w:tcW w:type="dxa" w:w="2280"/>
            <w:shd w:val="clear" w:color="auto" w:fill="1E293B"/>
            <w:tcBorders>
              <w:top w:val="single" w:sz="4" w:color="4A5568"/>
              <w:left w:val="single" w:sz="4" w:color="4A5568"/>
              <w:bottom w:val="single" w:sz="4" w:color="4A5568"/>
              <w:right w:val="single" w:sz="4" w:color="4A5568"/>
            </w:tcBorders>
          </w:tcPr>
          <w:p>
            <w:pPr>
              <w:jc w:val="center"/>
            </w:pPr>
            <w:r/>
            <w:r>
              <w:rPr>
                <w:b/>
                <w:color w:val="06B6D4"/>
                <w:sz w:val="20"/>
              </w:rPr>
              <w:t>176.85</w:t>
            </w:r>
          </w:p>
        </w:tc>
        <w:tc>
          <w:tcPr>
            <w:tcW w:type="dxa" w:w="2280"/>
            <w:shd w:val="clear" w:color="auto" w:fill="1E293B"/>
            <w:tcBorders>
              <w:top w:val="single" w:sz="4" w:color="4A5568"/>
              <w:left w:val="single" w:sz="4" w:color="4A5568"/>
              <w:bottom w:val="single" w:sz="4" w:color="4A5568"/>
              <w:right w:val="single" w:sz="4" w:color="4A5568"/>
            </w:tcBorders>
          </w:tcPr>
          <w:p>
            <w:pPr>
              <w:jc w:val="left"/>
            </w:pPr>
            <w:r/>
            <w:r>
              <w:rPr>
                <w:b w:val="0"/>
                <w:color w:val="06B6D4"/>
                <w:sz w:val="20"/>
              </w:rPr>
              <w:t>≈ 2.9 menit end-to-end</w:t>
            </w:r>
          </w:p>
        </w:tc>
      </w:tr>
    </w:tbl>
    <w:p/>
    <w:p>
      <w:pPr>
        <w:spacing w:before="80" w:after="80"/>
        <w:ind w:left="283" w:right="283"/>
      </w:pPr>
      <w:r>
        <w:rPr>
          <w:i/>
          <w:sz w:val="20"/>
        </w:rPr>
        <w:t>📌  Total estimasi waktu end-to-end (T1–T5): 177 detik ≈ 2.9 menit. Waktu pipeline investigasi (T3, R=120 dtk) mendominasi karena bersifat blocking-wait. Interaksi UI murni (tanpa R) berkisar 57 detik.</w:t>
      </w:r>
    </w:p>
    <w:p>
      <w:r>
        <w:br w:type="page"/>
      </w:r>
    </w:p>
    <w:p>
      <w:pPr>
        <w:pStyle w:val="Heading1"/>
      </w:pPr>
      <w:r>
        <w:rPr>
          <w:color w:val="06B6D4"/>
        </w:rPr>
        <w:t>BAGIAN 3 — EVALUASI HEURISTIK NIELSEN</w:t>
      </w:r>
    </w:p>
    <w:p>
      <w:pPr>
        <w:pStyle w:val="Heading2"/>
      </w:pPr>
      <w:r>
        <w:t>3.1 Deskripsi 10 Heuristik Nielsen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Kode</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Nama Heuristik</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Deskripsi</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H1</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Visibility of System Status</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Sistem harus selalu memberi tahu pengguna apa yang sedang terjadi melalui feedback yang tepat waktu.</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H2</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Match Between System and the Real World</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Sistem menggunakan bahasa dan konsep yang familiar bagi pengguna, bukan jargon internal sistem.</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H3</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User Control and Freedom</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Pengguna sering melakukan aksi yang tidak disengaja; sistem harus mendukung undo/redo dan keluar dengan jelas.</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H4</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Consistency and Standards</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Pengguna tidak perlu menebak apakah kata, situasi, atau aksi yang berbeda berarti hal yang sama.</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H5</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Error Prevention</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Desain yang cermat mencegah terjadinya masalah sejak awal, lebih baik dari pesan error yang baik.</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H6</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Recognition Rather Than Recall</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Minimalkan beban memori pengguna dengan membuat objek, aksi, dan opsi terlihat jelas.</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H7</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Flexibility and Efficiency of Use</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Accelerator (shortcut) memungkinkan pengguna ahli bekerja lebih cepat tanpa menghambat pengguna baru.</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H8</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Aesthetic and Minimalist Design</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Dialog tidak boleh berisi informasi yang tidak relevan; setiap unit informasi tambahan bersaing dengan unit penting.</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H9</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Help Users Recognize, Diagnose, and Recover from Errors</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Pesan error harus menggunakan bahasa sederhana, menjelaskan masalah secara tepat, dan menyarankan solusi konstruktif.</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H10</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Help and Documentation</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Meskipun sistem harus dapat digunakan tanpa dokumentasi, sistem kompleks mungkin memerlukan bantuan yang mudah dicari.</w:t>
            </w:r>
          </w:p>
        </w:tc>
      </w:tr>
    </w:tbl>
    <w:p/>
    <w:p>
      <w:pPr>
        <w:pStyle w:val="Heading2"/>
      </w:pPr>
      <w:r>
        <w:t>3.2 Skala Severity (Likert 1–5)</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Nilai</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Label</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Deskripsi</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1</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Tidak Masalah</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Hanya catatan estetika atau preferensi; tidak memengaruhi tugas</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2</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Minor</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Gangguan kecil; pengguna dapat menyelesaikan tugas tanpa hambatan berarti</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3</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Sedang</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Menghambat alur kerja; ada workaround tetapi memerlukan usaha ekstra</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4</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Major</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Menghambat signifikan; perlu diperbaiki sebelum rilis ke pengguna luas</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5</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Kritis</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Memblokir penyelesaian task; pengguna tidak dapat melanjutkan</w:t>
            </w:r>
          </w:p>
        </w:tc>
      </w:tr>
    </w:tbl>
    <w:p/>
    <w:p>
      <w:pPr>
        <w:spacing w:before="80" w:after="80"/>
        <w:ind w:left="283" w:right="283"/>
      </w:pPr>
      <w:r>
        <w:rPr>
          <w:i/>
          <w:sz w:val="20"/>
        </w:rPr>
        <w:t>📌  Rekomendasi perbaikan hanya diberikan untuk temuan dengan severity ≥ 3 (Sedang–Kritis).</w:t>
      </w:r>
    </w:p>
    <w:p>
      <w:pPr>
        <w:pStyle w:val="Heading2"/>
      </w:pPr>
      <w:r>
        <w:t>3.3 Temuan Evaluasi Heuristik per Halaman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No.</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Halaman</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Heuristik</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Deskripsi Temuan</w:t>
            </w:r>
          </w:p>
        </w:tc>
        <w:tc>
          <w:tcPr>
            <w:tcW w:type="dxa" w:w="1824"/>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Severity</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1</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HeroLanding</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H1: Visibility of System Status</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Halaman landing tidak menampilkan status kesiapan backend (apakah Ollama running, model tersedia). Pengguna tidak mengetahui apakah sistem siap digunakan sebelum memulai upload.</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HeroLanding</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H2: Match Between System and the Real World</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18"/>
              </w:rPr>
              <w:t>Istilah teknis seperti 'Foundation-Sec-8B', 'DeepLog LSTM', 'Drain Algorithm', dan 'LangGraph' digunakan langsung di halaman landing tanpa penjelasan bagi pengguna non-ahli.</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HeroLanding</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H10: Help and Documentation</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18"/>
              </w:rPr>
              <w:t>Tidak ada link ke dokumentasi atau panduan penggunaan cepat (quick start) dari halaman landing. Pengguna baru tidak memiliki referensi untuk memahami format file yang didukung atau prasyarat sistem.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4</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UploadPage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H1: Visibility of System Status</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18"/>
              </w:rPr>
              <w:t>Setelah file dipilih, tidak ada indikator ukuran file maksimum atau estimasi waktu upload. Pengguna tidak tahu apakah file mereka akan diterima atau berapa lama prosesnya.</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UploadPage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H5: Error Prevention</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18"/>
              </w:rPr>
              <w:t>Area drop zone dapat diklik bahkan setelah file sudah dipilih (logika: `onClick={() =&gt; !file &amp;&amp; fileInputRef.current?.click()}`). Kondisi ini sudah dihandle dengan baik — klik hanya aktif jika belum a...</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1</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6</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UploadPage</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H6: Recognition Rather Than Recall</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Tombol 'Run Quick Analysis' memiliki label yang tidak jelas bagi pengguna awam. Tidak ada tooltip atau keterangan singkat yang menjelaskan perbedaan antara 'Start Full Investigation' dan 'Run Quick An...</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7</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UploadPage</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H9: Help Users Recognize, Diagnose, and Recover from Errors</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Pesan error upload ('File type not supported. Allowed: .evtx, .log, .txt, .csv') sudah cukup informatif. Namun error dari API ('/Upload failed. Please try again.') tidak memberikan informasi kontekstu...</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8</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InvestigationPage</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H1: Visibility of System Status</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Pipeline stepper (Upload &amp; Session → Log Parsing → DeepLog → LLM Gate → AI Agent → Threat Intel → Report) hanya terlihat pada resolusi ≥ md (hidden di mobile: `display: { xs: 'none', md: 'flex' }`). P...</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FEDED"/>
            <w:tcBorders>
              <w:top w:val="single" w:sz="2" w:color="CBD5E1"/>
              <w:left w:val="single" w:sz="2" w:color="CBD5E1"/>
              <w:bottom w:val="single" w:sz="2" w:color="CBD5E1"/>
              <w:right w:val="single" w:sz="2" w:color="CBD5E1"/>
            </w:tcBorders>
          </w:tcPr>
          <w:p>
            <w:pPr>
              <w:jc w:val="left"/>
            </w:pPr>
            <w:r/>
            <w:r>
              <w:rPr>
                <w:b/>
                <w:sz w:val="18"/>
              </w:rPr>
              <w:t>9</w:t>
            </w:r>
          </w:p>
        </w:tc>
        <w:tc>
          <w:tcPr>
            <w:tcW w:type="dxa" w:w="1824"/>
            <w:shd w:val="clear" w:color="auto" w:fill="FFEDED"/>
            <w:tcBorders>
              <w:top w:val="single" w:sz="2" w:color="CBD5E1"/>
              <w:left w:val="single" w:sz="2" w:color="CBD5E1"/>
              <w:bottom w:val="single" w:sz="2" w:color="CBD5E1"/>
              <w:right w:val="single" w:sz="2" w:color="CBD5E1"/>
            </w:tcBorders>
          </w:tcPr>
          <w:p>
            <w:pPr>
              <w:jc w:val="left"/>
            </w:pPr>
            <w:r/>
            <w:r>
              <w:rPr>
                <w:b/>
                <w:sz w:val="18"/>
              </w:rPr>
              <w:t>InvestigationPage</w:t>
            </w:r>
          </w:p>
        </w:tc>
        <w:tc>
          <w:tcPr>
            <w:tcW w:type="dxa" w:w="1824"/>
            <w:shd w:val="clear" w:color="auto" w:fill="FFEDED"/>
            <w:tcBorders>
              <w:top w:val="single" w:sz="2" w:color="CBD5E1"/>
              <w:left w:val="single" w:sz="2" w:color="CBD5E1"/>
              <w:bottom w:val="single" w:sz="2" w:color="CBD5E1"/>
              <w:right w:val="single" w:sz="2" w:color="CBD5E1"/>
            </w:tcBorders>
          </w:tcPr>
          <w:p>
            <w:pPr>
              <w:jc w:val="left"/>
            </w:pPr>
            <w:r/>
            <w:r>
              <w:rPr>
                <w:b/>
                <w:sz w:val="18"/>
              </w:rPr>
              <w:t>H3: User Control and Freedom</w:t>
            </w:r>
          </w:p>
        </w:tc>
        <w:tc>
          <w:tcPr>
            <w:tcW w:type="dxa" w:w="1824"/>
            <w:shd w:val="clear" w:color="auto" w:fill="FFEDED"/>
            <w:tcBorders>
              <w:top w:val="single" w:sz="2" w:color="CBD5E1"/>
              <w:left w:val="single" w:sz="2" w:color="CBD5E1"/>
              <w:bottom w:val="single" w:sz="2" w:color="CBD5E1"/>
              <w:right w:val="single" w:sz="2" w:color="CBD5E1"/>
            </w:tcBorders>
          </w:tcPr>
          <w:p>
            <w:pPr>
              <w:jc w:val="left"/>
            </w:pPr>
            <w:r/>
            <w:r>
              <w:rPr>
                <w:b w:val="0"/>
                <w:sz w:val="18"/>
              </w:rPr>
              <w:t>Tidak ada tombol untuk menghentikan (cancel) investigasi yang sedang berjalan. Jika pengguna menyadari mereka mengupload file yang salah, satu-satunya opsi adalah klik 'New Investigation' yang akan me...</w:t>
            </w:r>
          </w:p>
        </w:tc>
        <w:tc>
          <w:tcPr>
            <w:tcW w:type="dxa" w:w="1824"/>
            <w:shd w:val="clear" w:color="auto" w:fill="FFEDED"/>
            <w:tcBorders>
              <w:top w:val="single" w:sz="2" w:color="CBD5E1"/>
              <w:left w:val="single" w:sz="2" w:color="CBD5E1"/>
              <w:bottom w:val="single" w:sz="2" w:color="CBD5E1"/>
              <w:right w:val="single" w:sz="2" w:color="CBD5E1"/>
            </w:tcBorders>
          </w:tcPr>
          <w:p>
            <w:pPr>
              <w:jc w:val="left"/>
            </w:pPr>
            <w:r/>
            <w:r>
              <w:rPr>
                <w:b/>
                <w:color w:val="06B6D4"/>
                <w:sz w:val="18"/>
              </w:rPr>
              <w:t>4</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10</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InvestigationPage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H1: Visibility of System Status</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18"/>
              </w:rPr>
              <w:t>Label 'Session Active' pada chip status (Sidebar) tidak berubah menjadi 'Completed' secara real-time; chip hanya menampilkan 'In progress' statis. Status aktual sudah tampil di halaman utama Investiga...</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11</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InvestigationPage</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H4: Consistency and Standards</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Tombol export menggunakan label 'Export Report' dengan dropdown, tetapi opsi 'Export Parsed JSONL', 'Export Elastic NDJSON', dll. bercampur dengan 'Export PDF' dan 'Export DOCX'. Pengguna awam mungkin...</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12</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ReportDashboard</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H8: Aesthetic and Minimalist Design</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18"/>
              </w:rPr>
              <w:t>Tab 'Appendix' menggabungkan IOC Table dan Methodology dalam satu tab. Konten IOC Table bisa sangat panjang jika terdapat banyak IoC, membuat tab ini terasa padat dan tidak terorganisir dengan baik.</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13</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ReportDashboard</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H6: Recognition Rather Than Recall</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18"/>
              </w:rPr>
              <w:t>Label tab menggunakan ikon + teks singkat (mis. 'Overview', 'Evidence', 'Detection', 'MITRE', 'Impact', 'Appendix'). Namun tidak ada tooltip atau deskripsi yang menjelaskan isi tiap tab saat hover. Pe...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14</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ReportDashboard</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H2: Match Between System and the Real World</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Beberapa field di laporan menggunakan bahasa Inggris (mis. 'Not available in the current report payload', 'Requires analyst validation') yang bercampur dengan beberapa label Bahasa Indonesia. Inkonsis...</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15</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SettingsPage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H1: Visibility of System Status</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18"/>
              </w:rPr>
              <w:t>Status kesehatan provider (Healthy/Unavailable) hanya diperbarui saat halaman dimuat atau tombol 'Refresh health' diklik secara manual. Tidak ada indikator auto-refresh, sehingga pengguna tidak menget...</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16</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SettingsPage</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sz w:val="18"/>
              </w:rPr>
              <w:t>H5: Error Prevention</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val="0"/>
                <w:sz w:val="18"/>
              </w:rPr>
              <w:t>Field API Key menggunakan `WebkitTextSecurity: 'disc'` untuk menyembunyikan karakter, tetapi tidak menggunakan `type='password'` yang sebenarnya. Ini mengakibatkan browser tidak menawarkan pengelolaan...</w:t>
            </w:r>
          </w:p>
        </w:tc>
        <w:tc>
          <w:tcPr>
            <w:tcW w:type="dxa" w:w="1824"/>
            <w:shd w:val="clear" w:color="auto" w:fill="FFF7ED"/>
            <w:tcBorders>
              <w:top w:val="single" w:sz="2" w:color="CBD5E1"/>
              <w:left w:val="single" w:sz="2" w:color="CBD5E1"/>
              <w:bottom w:val="single" w:sz="2" w:color="CBD5E1"/>
              <w:right w:val="single" w:sz="2" w:color="CBD5E1"/>
            </w:tcBorders>
          </w:tcPr>
          <w:p>
            <w:pPr>
              <w:jc w:val="left"/>
            </w:pPr>
            <w:r/>
            <w:r>
              <w:rPr>
                <w:b/>
                <w:color w:val="D97706"/>
                <w:sz w:val="18"/>
              </w:rPr>
              <w:t>3</w:t>
            </w:r>
          </w:p>
        </w:tc>
      </w:tr>
      <w:tr>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17</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SettingsPage</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H3: User Control and Freedom</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val="0"/>
                <w:sz w:val="18"/>
              </w:rPr>
              <w:t>Tidak ada tombol 'Reset to Default' untuk mengembalikan konfigurasi LLM ke nilai default jika pengguna salah mengubah pengaturan. Pengguna harus mengingat nilai default atau mengedit ulang secara manu...</w:t>
            </w:r>
          </w:p>
        </w:tc>
        <w:tc>
          <w:tcPr>
            <w:tcW w:type="dxa" w:w="1824"/>
            <w:shd w:val="clear" w:color="auto" w:fill="FFFFFF"/>
            <w:tcBorders>
              <w:top w:val="single" w:sz="2" w:color="CBD5E1"/>
              <w:left w:val="single" w:sz="2" w:color="CBD5E1"/>
              <w:bottom w:val="single" w:sz="2" w:color="CBD5E1"/>
              <w:right w:val="single" w:sz="2" w:color="CBD5E1"/>
            </w:tcBorders>
          </w:tcPr>
          <w:p>
            <w:pPr>
              <w:jc w:val="left"/>
            </w:pPr>
            <w:r/>
            <w:r>
              <w:rPr>
                <w:b/>
                <w:sz w:val="18"/>
              </w:rPr>
              <w:t>2</w:t>
            </w:r>
          </w:p>
        </w:tc>
      </w:tr>
      <w:tr>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18</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SettingsPage</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H10: Help and Documentation</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val="0"/>
                <w:sz w:val="18"/>
              </w:rPr>
              <w:t>Tidak ada panduan atau hint tentang cara mendapatkan API key untuk Gemini/OpenRouter, atau cara menginstal Ollama. Pengguna harus mencari informasi ini secara mandiri.</w:t>
            </w:r>
          </w:p>
        </w:tc>
        <w:tc>
          <w:tcPr>
            <w:tcW w:type="dxa" w:w="1824"/>
            <w:shd w:val="clear" w:color="auto" w:fill="F1F5F9"/>
            <w:tcBorders>
              <w:top w:val="single" w:sz="2" w:color="CBD5E1"/>
              <w:left w:val="single" w:sz="2" w:color="CBD5E1"/>
              <w:bottom w:val="single" w:sz="2" w:color="CBD5E1"/>
              <w:right w:val="single" w:sz="2" w:color="CBD5E1"/>
            </w:tcBorders>
          </w:tcPr>
          <w:p>
            <w:pPr>
              <w:jc w:val="left"/>
            </w:pPr>
            <w:r/>
            <w:r>
              <w:rPr>
                <w:b/>
                <w:sz w:val="18"/>
              </w:rPr>
              <w:t>2</w:t>
            </w:r>
          </w:p>
        </w:tc>
      </w:tr>
    </w:tbl>
    <w:p/>
    <w:p>
      <w:pPr>
        <w:pStyle w:val="Heading2"/>
      </w:pPr>
      <w:r>
        <w:t>3.4 Ringkasan Masalah dan Rekomendasi (Severity ≥ 3)</w:t>
      </w:r>
    </w:p>
    <w:p>
      <w:r>
        <w:rPr>
          <w:i w:val="0"/>
          <w:sz w:val="22"/>
        </w:rPr>
        <w:t>Berikut adalah temuan dengan severity ≥ 3 yang memerlukan perhatian dan disertai rekomendasi perbaikan:</w:t>
      </w:r>
    </w:p>
    <w:p>
      <w:pPr>
        <w:pStyle w:val="Heading3"/>
      </w:pPr>
      <w:r>
        <w:t>Temuan #1 — HeroLanding [H1] — Severity: Sedang (3)</w:t>
      </w:r>
    </w:p>
    <w:p>
      <w:r>
        <w:rPr>
          <w:i/>
          <w:sz w:val="20"/>
        </w:rPr>
        <w:t>Heuristik: H1 — Visibility of System Status</w:t>
      </w:r>
    </w:p>
    <w:p>
      <w:r>
        <w:rPr>
          <w:i w:val="0"/>
          <w:sz w:val="22"/>
        </w:rPr>
        <w:t>Masalah: Halaman landing tidak menampilkan status kesiapan backend (apakah Ollama running, model tersedia). Pengguna tidak mengetahui apakah sistem siap digunakan sebelum memulai upload.</w:t>
      </w:r>
    </w:p>
    <w:p>
      <w:r>
        <w:rPr>
          <w:b/>
          <w:color w:val="068A62"/>
          <w:sz w:val="22"/>
        </w:rPr>
        <w:t xml:space="preserve">✅ Rekomendasi: </w:t>
      </w:r>
      <w:r>
        <w:rPr>
          <w:sz w:val="22"/>
        </w:rPr>
        <w:t>Tambahkan widget status mini di sudut halaman landing (mis. ikon hijau/merah) yang menunjukkan health backend melalui polling /api/health. Ini memberi pengguna sinyal kesiapan sistem sebelum upload.</w:t>
      </w:r>
    </w:p>
    <w:p/>
    <w:p>
      <w:pPr>
        <w:pStyle w:val="Heading3"/>
      </w:pPr>
      <w:r>
        <w:t>Temuan #6 — UploadPage [H6] — Severity: Sedang (3)</w:t>
      </w:r>
    </w:p>
    <w:p>
      <w:r>
        <w:rPr>
          <w:i/>
          <w:sz w:val="20"/>
        </w:rPr>
        <w:t>Heuristik: H6 — Recognition Rather Than Recall</w:t>
      </w:r>
    </w:p>
    <w:p>
      <w:r>
        <w:rPr>
          <w:i w:val="0"/>
          <w:sz w:val="22"/>
        </w:rPr>
        <w:t>Masalah: Tombol 'Run Quick Analysis' memiliki label yang tidak jelas bagi pengguna awam. Tidak ada tooltip atau keterangan singkat yang menjelaskan perbedaan antara 'Start Full Investigation' dan 'Run Quick Analysis'.</w:t>
      </w:r>
    </w:p>
    <w:p>
      <w:r>
        <w:rPr>
          <w:b/>
          <w:color w:val="068A62"/>
          <w:sz w:val="22"/>
        </w:rPr>
        <w:t xml:space="preserve">✅ Rekomendasi: </w:t>
      </w:r>
      <w:r>
        <w:rPr>
          <w:sz w:val="22"/>
        </w:rPr>
        <w:t>Tambahkan tooltip (MUI Tooltip) pada kedua tombol utama yang menjelaskan secara singkat perbedaan Quick Analysis vs Full Investigation. Contoh: 'Quick Analysis: preview anomaly tanpa investigasi penuh (lebih cepat)'. Ini mengurangi kebutuhan pengguna untuk mengingat perbedaan dari dokumentasi.</w:t>
      </w:r>
    </w:p>
    <w:p/>
    <w:p>
      <w:pPr>
        <w:pStyle w:val="Heading3"/>
      </w:pPr>
      <w:r>
        <w:t>Temuan #7 — UploadPage [H9] — Severity: Sedang (3)</w:t>
      </w:r>
    </w:p>
    <w:p>
      <w:r>
        <w:rPr>
          <w:i/>
          <w:sz w:val="20"/>
        </w:rPr>
        <w:t>Heuristik: H9 — Help Users Recognize, Diagnose, and Recover from Errors</w:t>
      </w:r>
    </w:p>
    <w:p>
      <w:r>
        <w:rPr>
          <w:i w:val="0"/>
          <w:sz w:val="22"/>
        </w:rPr>
        <w:t>Masalah: Pesan error upload ('File type not supported. Allowed: .evtx, .log, .txt, .csv') sudah cukup informatif. Namun error dari API ('/Upload failed. Please try again.') tidak memberikan informasi kontekstual tentang penyebab kegagalan (mis. server unreachable vs file corrupt).</w:t>
      </w:r>
    </w:p>
    <w:p>
      <w:r>
        <w:rPr>
          <w:b/>
          <w:color w:val="068A62"/>
          <w:sz w:val="22"/>
        </w:rPr>
        <w:t xml:space="preserve">✅ Rekomendasi: </w:t>
      </w:r>
      <w:r>
        <w:rPr>
          <w:sz w:val="22"/>
        </w:rPr>
        <w:t>Klasifikasikan error API ke dalam kategori yang lebih spesifik: 'Backend tidak dapat dijangkau — pastikan server berjalan' vs 'File gagal diproses — periksa format file'. Gunakan HTTP status code dari respons API untuk menentukan pesan yang lebih kontekstual.</w:t>
      </w:r>
    </w:p>
    <w:p/>
    <w:p>
      <w:pPr>
        <w:pStyle w:val="Heading3"/>
      </w:pPr>
      <w:r>
        <w:t>Temuan #8 — InvestigationPage [H1] — Severity: Sedang (3)</w:t>
      </w:r>
    </w:p>
    <w:p>
      <w:r>
        <w:rPr>
          <w:i/>
          <w:sz w:val="20"/>
        </w:rPr>
        <w:t>Heuristik: H1 — Visibility of System Status</w:t>
      </w:r>
    </w:p>
    <w:p>
      <w:r>
        <w:rPr>
          <w:i w:val="0"/>
          <w:sz w:val="22"/>
        </w:rPr>
        <w:t>Masalah: Pipeline stepper (Upload &amp; Session → Log Parsing → DeepLog → LLM Gate → AI Agent → Threat Intel → Report) hanya terlihat pada resolusi ≥ md (hidden di mobile: `display: { xs: 'none', md: 'flex' }`). Pengguna pada layar kecil kehilangan informasi progress pipeline yang detail.</w:t>
      </w:r>
    </w:p>
    <w:p>
      <w:r>
        <w:rPr>
          <w:b/>
          <w:color w:val="068A62"/>
          <w:sz w:val="22"/>
        </w:rPr>
        <w:t xml:space="preserve">✅ Rekomendasi: </w:t>
      </w:r>
      <w:r>
        <w:rPr>
          <w:sz w:val="22"/>
        </w:rPr>
        <w:t>Implementasikan tampilan alternatif progress di mobile: gunakan komponen Chip bertumpuk atau list sederhana yang menggantikan Stepper saat viewport &lt; md. Progress bar persentase sudah tampil di semua viewport, tetapi label tahap (stage) tidak.</w:t>
      </w:r>
    </w:p>
    <w:p/>
    <w:p>
      <w:pPr>
        <w:pStyle w:val="Heading3"/>
      </w:pPr>
      <w:r>
        <w:t>Temuan #9 — InvestigationPage [H3] — Severity: Major (4)</w:t>
      </w:r>
    </w:p>
    <w:p>
      <w:r>
        <w:rPr>
          <w:i/>
          <w:sz w:val="20"/>
        </w:rPr>
        <w:t>Heuristik: H3 — User Control and Freedom</w:t>
      </w:r>
    </w:p>
    <w:p>
      <w:r>
        <w:rPr>
          <w:i w:val="0"/>
          <w:sz w:val="22"/>
        </w:rPr>
        <w:t>Masalah: Tidak ada tombol untuk menghentikan (cancel) investigasi yang sedang berjalan. Jika pengguna menyadari mereka mengupload file yang salah, satu-satunya opsi adalah klik 'New Investigation' yang akan memulai sesi baru (sesi lama tetap berjalan di background).</w:t>
      </w:r>
    </w:p>
    <w:p>
      <w:r>
        <w:rPr>
          <w:b/>
          <w:color w:val="068A62"/>
          <w:sz w:val="22"/>
        </w:rPr>
        <w:t xml:space="preserve">✅ Rekomendasi: </w:t>
      </w:r>
      <w:r>
        <w:rPr>
          <w:sz w:val="22"/>
        </w:rPr>
        <w:t>Tambahkan tombol 'Cancel Investigation' yang memanggil endpoint API baru DELETE /api/investigate/{session_id} atau PUT /api/investigate/{session_id}/cancel. Tampilkan konfirmasi dialog sebelum pembatalan untuk mencegah aksi tidak sengaja.</w:t>
      </w:r>
    </w:p>
    <w:p/>
    <w:p>
      <w:pPr>
        <w:pStyle w:val="Heading3"/>
      </w:pPr>
      <w:r>
        <w:t>Temuan #11 — InvestigationPage [H4] — Severity: Sedang (3)</w:t>
      </w:r>
    </w:p>
    <w:p>
      <w:r>
        <w:rPr>
          <w:i/>
          <w:sz w:val="20"/>
        </w:rPr>
        <w:t>Heuristik: H4 — Consistency and Standards</w:t>
      </w:r>
    </w:p>
    <w:p>
      <w:r>
        <w:rPr>
          <w:i w:val="0"/>
          <w:sz w:val="22"/>
        </w:rPr>
        <w:t>Masalah: Tombol export menggunakan label 'Export Report' dengan dropdown, tetapi opsi 'Export Parsed JSONL', 'Export Elastic NDJSON', dll. bercampur dengan 'Export PDF' dan 'Export DOCX'. Pengguna awam mungkin bingung dengan opsi-opsi teknis (JSONL, NDJSON, Manifest) yang tidak relevan untuk tugas laporan biasa.</w:t>
      </w:r>
    </w:p>
    <w:p>
      <w:r>
        <w:rPr>
          <w:b/>
          <w:color w:val="068A62"/>
          <w:sz w:val="22"/>
        </w:rPr>
        <w:t xml:space="preserve">✅ Rekomendasi: </w:t>
      </w:r>
      <w:r>
        <w:rPr>
          <w:sz w:val="22"/>
        </w:rPr>
        <w:t>Pisahkan dropdown export menjadi dua kelompok: (1) 'Laporan' — PDF, DOCX; (2) 'Data Teknis' — JSONL, NDJSON, CSV, Manifest. Gunakan MUI Divider dan ListSubheader untuk membagi kelompok dalam dropdown.</w:t>
      </w:r>
    </w:p>
    <w:p/>
    <w:p>
      <w:pPr>
        <w:pStyle w:val="Heading3"/>
      </w:pPr>
      <w:r>
        <w:t>Temuan #14 — ReportDashboard [H2] — Severity: Sedang (3)</w:t>
      </w:r>
    </w:p>
    <w:p>
      <w:r>
        <w:rPr>
          <w:i/>
          <w:sz w:val="20"/>
        </w:rPr>
        <w:t>Heuristik: H2 — Match Between System and the Real World</w:t>
      </w:r>
    </w:p>
    <w:p>
      <w:r>
        <w:rPr>
          <w:i w:val="0"/>
          <w:sz w:val="22"/>
        </w:rPr>
        <w:t>Masalah: Beberapa field di laporan menggunakan bahasa Inggris (mis. 'Not available in the current report payload', 'Requires analyst validation') yang bercampur dengan beberapa label Bahasa Indonesia. Inkonsistensi bahasa dapat membingungkan pengguna.</w:t>
      </w:r>
    </w:p>
    <w:p>
      <w:r>
        <w:rPr>
          <w:b/>
          <w:color w:val="068A62"/>
          <w:sz w:val="22"/>
        </w:rPr>
        <w:t xml:space="preserve">✅ Rekomendasi: </w:t>
      </w:r>
      <w:r>
        <w:rPr>
          <w:sz w:val="22"/>
        </w:rPr>
        <w:t>Standarisasi bahasa antarmuka: gunakan sepenuhnya Bahasa Indonesia untuk label dan pesan UI yang menghadap pengguna, atau sepenuhnya Bahasa Inggris (konsisten). Nilai fallback seperti 'Not available' sebaiknya ditranslasi menjadi 'Tidak tersedia'.</w:t>
      </w:r>
    </w:p>
    <w:p/>
    <w:p>
      <w:pPr>
        <w:pStyle w:val="Heading3"/>
      </w:pPr>
      <w:r>
        <w:t>Temuan #16 — SettingsPage [H5] — Severity: Sedang (3)</w:t>
      </w:r>
    </w:p>
    <w:p>
      <w:r>
        <w:rPr>
          <w:i/>
          <w:sz w:val="20"/>
        </w:rPr>
        <w:t>Heuristik: H5 — Error Prevention</w:t>
      </w:r>
    </w:p>
    <w:p>
      <w:r>
        <w:rPr>
          <w:i w:val="0"/>
          <w:sz w:val="22"/>
        </w:rPr>
        <w:t>Masalah: Field API Key menggunakan `WebkitTextSecurity: 'disc'` untuk menyembunyikan karakter, tetapi tidak menggunakan `type='password'` yang sebenarnya. Ini mengakibatkan browser tidak menawarkan pengelolaan password dan potensi kebocoran key melalui browser history.</w:t>
      </w:r>
    </w:p>
    <w:p>
      <w:r>
        <w:rPr>
          <w:b/>
          <w:color w:val="068A62"/>
          <w:sz w:val="22"/>
        </w:rPr>
        <w:t xml:space="preserve">✅ Rekomendasi: </w:t>
      </w:r>
      <w:r>
        <w:rPr>
          <w:sz w:val="22"/>
        </w:rPr>
        <w:t>Ubah field API Key menjadi `type='password'` dengan atribut `autoComplete='new-password'` untuk mencegah browser autofill key lama. Tambahkan tombol toggle 'Show/Hide' untuk kenyamanan pengguna. Ini adalah praktik keamanan standar untuk field sensitif.</w:t>
      </w:r>
    </w:p>
    <w:p/>
    <w:p>
      <w:pPr>
        <w:pStyle w:val="Heading2"/>
      </w:pPr>
      <w:r>
        <w:t>3.5 Kesimpulan Evaluasi Heuristik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Severity</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Jumlah Temuan</w:t>
            </w:r>
          </w:p>
        </w:tc>
        <w:tc>
          <w:tcPr>
            <w:tcW w:type="dxa" w:w="3041"/>
            <w:shd w:val="clear" w:color="auto" w:fill="1E293B"/>
            <w:tcBorders>
              <w:top w:val="single" w:sz="4" w:color="4A5568"/>
              <w:left w:val="single" w:sz="4" w:color="4A5568"/>
              <w:bottom w:val="single" w:sz="4" w:color="4A5568"/>
              <w:right w:val="single" w:sz="4" w:color="4A5568"/>
            </w:tcBorders>
          </w:tcPr>
          <w:p>
            <w:pPr>
              <w:jc w:val="center"/>
            </w:pPr>
            <w:r/>
            <w:r>
              <w:rPr>
                <w:b/>
                <w:color w:val="F8FAFC"/>
                <w:sz w:val="20"/>
              </w:rPr>
              <w:t>Status</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5 — Kritis</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0</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Tidak ditemukan</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4 — Major</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1</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Perlu perbaikan segera</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3 — Sedang</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7</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Perlu perbaikan sebelum rilis luas</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2 — Minor</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9</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Dapat diperbaiki di iterasi berikutnya</w:t>
            </w:r>
          </w:p>
        </w:tc>
      </w:tr>
      <w:tr>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sz w:val="20"/>
              </w:rPr>
              <w:t>1 — Tidak Masalah</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1</w:t>
            </w:r>
          </w:p>
        </w:tc>
        <w:tc>
          <w:tcPr>
            <w:tcW w:type="dxa" w:w="3041"/>
            <w:shd w:val="clear" w:color="auto" w:fill="FFFFFF"/>
            <w:tcBorders>
              <w:top w:val="single" w:sz="2" w:color="CBD5E1"/>
              <w:left w:val="single" w:sz="2" w:color="CBD5E1"/>
              <w:bottom w:val="single" w:sz="2" w:color="CBD5E1"/>
              <w:right w:val="single" w:sz="2" w:color="CBD5E1"/>
            </w:tcBorders>
          </w:tcPr>
          <w:p>
            <w:pPr>
              <w:jc w:val="left"/>
            </w:pPr>
            <w:r/>
            <w:r>
              <w:rPr>
                <w:b w:val="0"/>
                <w:sz w:val="20"/>
              </w:rPr>
              <w:t>Tidak memerlukan tindakan</w:t>
            </w:r>
          </w:p>
        </w:tc>
      </w:tr>
      <w:tr>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sz w:val="20"/>
              </w:rPr>
              <w:t>TOTAL</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t>18</w:t>
            </w:r>
          </w:p>
        </w:tc>
        <w:tc>
          <w:tcPr>
            <w:tcW w:type="dxa" w:w="3041"/>
            <w:shd w:val="clear" w:color="auto" w:fill="F1F5F9"/>
            <w:tcBorders>
              <w:top w:val="single" w:sz="2" w:color="CBD5E1"/>
              <w:left w:val="single" w:sz="2" w:color="CBD5E1"/>
              <w:bottom w:val="single" w:sz="2" w:color="CBD5E1"/>
              <w:right w:val="single" w:sz="2" w:color="CBD5E1"/>
            </w:tcBorders>
          </w:tcPr>
          <w:p>
            <w:pPr>
              <w:jc w:val="left"/>
            </w:pPr>
            <w:r/>
            <w:r>
              <w:rPr>
                <w:b w:val="0"/>
                <w:sz w:val="20"/>
              </w:rPr>
            </w:r>
          </w:p>
        </w:tc>
      </w:tr>
    </w:tbl>
    <w:p/>
    <w:p>
      <w:r>
        <w:rPr>
          <w:i w:val="0"/>
          <w:sz w:val="22"/>
        </w:rPr>
        <w:t>Dari 18 temuan yang diidentifikasi, terdapat 1 masalah major (severity 4), 7 masalah sedang (severity 3), dan 9 masalah minor (severity 2). Tidak ditemukan masalah kritis (severity 5) yang memblokir penyelesaian task utama.</w:t>
      </w:r>
    </w:p>
    <w:p>
      <w:r>
        <w:rPr>
          <w:i w:val="0"/>
          <w:sz w:val="22"/>
        </w:rPr>
        <w:t>Secara umum, antarmuka aplikasi AI Agent DFIR sudah memenuhi sebagian besar prinsip usability Nielsen dengan baik, terutama dalam hal estetika dan desain yang bersih (H8), konsistensi visual (H4), dan feedback status pipeline investigasi (H1 pada InvestigationPage). Area yang paling memerlukan perhatian adalah: (1) kontrol pengguna untuk membatalkan investigasi (H3), (2) penanganan error yang lebih kontekstual (H9), dan (3) keamanan field API Key (H5 SettingsPage).</w:t>
      </w:r>
    </w:p>
    <w:p/>
    <w:p/>
    <w:p>
      <w:r>
        <w:t>──────────────────────────────────────────────────────────────────────────────────────────</w:t>
      </w:r>
    </w:p>
    <w:p>
      <w:pPr>
        <w:jc w:val="center"/>
      </w:pPr>
      <w:r>
        <w:rPr>
          <w:sz w:val="18"/>
        </w:rPr>
        <w:t>Dokumen ini dibuat secara otomatis pada 02 June 2026, 08:48 WIB.</w:t>
        <w:br/>
        <w:t>AI Agent DFIR  |  Politeknik Siber dan Sandi Negara  |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