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bookmarkEnd w:id="0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AB4065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AE2DF6">
              <w:t>2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682E1C">
              <w:rPr>
                <w:noProof/>
              </w:rPr>
              <w:t>23/02/2016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682E1C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B20E8F" w:rsidP="00B20E8F">
            <w:r>
              <w:t>05</w:t>
            </w:r>
            <w:r w:rsidR="005C6F0A">
              <w:t>/</w:t>
            </w:r>
            <w:r>
              <w:t>02</w:t>
            </w:r>
            <w:r w:rsidR="005C6F0A">
              <w:t>/201</w:t>
            </w:r>
            <w:r>
              <w:t>6</w:t>
            </w:r>
          </w:p>
        </w:tc>
        <w:tc>
          <w:tcPr>
            <w:tcW w:w="4626" w:type="dxa"/>
          </w:tcPr>
          <w:p w:rsidR="00CA2C22" w:rsidRPr="00004867" w:rsidRDefault="00F441D5" w:rsidP="00AE2DF6">
            <w:r>
              <w:t>Version 1.0.7</w:t>
            </w:r>
            <w:r w:rsidR="00AE2DF6">
              <w:t>2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AE2DF6" w:rsidRPr="00004867" w:rsidTr="002E6D77">
        <w:tc>
          <w:tcPr>
            <w:tcW w:w="1070" w:type="dxa"/>
          </w:tcPr>
          <w:p w:rsidR="00AE2DF6" w:rsidRDefault="00AE2DF6" w:rsidP="00A322A1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AE2DF6" w:rsidRDefault="00AE2DF6" w:rsidP="005E7CC7">
            <w:r>
              <w:t>23/02/2016</w:t>
            </w:r>
          </w:p>
        </w:tc>
        <w:tc>
          <w:tcPr>
            <w:tcW w:w="2083" w:type="dxa"/>
          </w:tcPr>
          <w:p w:rsidR="00AE2DF6" w:rsidRDefault="00AE2DF6">
            <w:r>
              <w:t>Laurent Ferier</w:t>
            </w:r>
          </w:p>
        </w:tc>
        <w:tc>
          <w:tcPr>
            <w:tcW w:w="4757" w:type="dxa"/>
          </w:tcPr>
          <w:p w:rsidR="00AE2DF6" w:rsidRDefault="00AE2DF6" w:rsidP="00A322A1">
            <w:r>
              <w:t>Version 1.0.72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682E1C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682E1C">
        <w:rPr>
          <w:noProof/>
        </w:rPr>
        <w:t>1.</w:t>
      </w:r>
      <w:r w:rsidR="00682E1C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682E1C">
        <w:rPr>
          <w:noProof/>
        </w:rPr>
        <w:t>Introduction</w:t>
      </w:r>
      <w:r w:rsidR="00682E1C">
        <w:rPr>
          <w:noProof/>
        </w:rPr>
        <w:tab/>
      </w:r>
      <w:r w:rsidR="00682E1C">
        <w:rPr>
          <w:noProof/>
        </w:rPr>
        <w:fldChar w:fldCharType="begin"/>
      </w:r>
      <w:r w:rsidR="00682E1C">
        <w:rPr>
          <w:noProof/>
        </w:rPr>
        <w:instrText xml:space="preserve"> PAGEREF _Toc443986609 \h </w:instrText>
      </w:r>
      <w:r w:rsidR="00682E1C">
        <w:rPr>
          <w:noProof/>
        </w:rPr>
      </w:r>
      <w:r w:rsidR="00682E1C">
        <w:rPr>
          <w:noProof/>
        </w:rPr>
        <w:fldChar w:fldCharType="separate"/>
      </w:r>
      <w:r w:rsidR="00682E1C">
        <w:rPr>
          <w:noProof/>
        </w:rPr>
        <w:t>5</w:t>
      </w:r>
      <w:r w:rsidR="00682E1C">
        <w:rPr>
          <w:noProof/>
        </w:rPr>
        <w:fldChar w:fldCharType="end"/>
      </w:r>
    </w:p>
    <w:p w:rsidR="00682E1C" w:rsidRDefault="00682E1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2E1C" w:rsidRDefault="00682E1C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_Toc443986645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43986609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43986610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43986611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43986612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43986613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43986614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43986615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43986616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43986617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43986618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43986619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43986620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43986621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43986622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43986623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43986624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43986625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43986626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43986627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43986628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43986629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43986630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43986631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43986632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43986633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43986634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43986635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43986636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43986637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43986638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43986639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43986640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43986641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43986642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43986643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43986644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43986645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1F5C37" w:rsidRPr="009E0B43" w:rsidRDefault="001F5C37" w:rsidP="009E0B43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65" w:rsidRDefault="00AB4065">
      <w:r>
        <w:separator/>
      </w:r>
    </w:p>
  </w:endnote>
  <w:endnote w:type="continuationSeparator" w:id="0">
    <w:p w:rsidR="00AB4065" w:rsidRDefault="00AB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682E1C">
            <w:rPr>
              <w:noProof/>
              <w:sz w:val="16"/>
              <w:szCs w:val="16"/>
            </w:rPr>
            <w:t>23/02/2016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AB4065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82E1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82E1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682E1C">
            <w:rPr>
              <w:noProof/>
              <w:sz w:val="16"/>
              <w:szCs w:val="16"/>
            </w:rPr>
            <w:t>23/02/2016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AB4065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82E1C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82E1C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65" w:rsidRDefault="00AB4065">
      <w:r>
        <w:separator/>
      </w:r>
    </w:p>
  </w:footnote>
  <w:footnote w:type="continuationSeparator" w:id="0">
    <w:p w:rsidR="00AB4065" w:rsidRDefault="00AB4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AB4065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C87816"/>
    <w:rsid w:val="00CC32EF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52122-C104-49AD-A6A8-76E4D62A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1621</Words>
  <Characters>8916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10516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82</cp:revision>
  <cp:lastPrinted>2016-02-23T09:28:00Z</cp:lastPrinted>
  <dcterms:created xsi:type="dcterms:W3CDTF">2015-06-23T09:22:00Z</dcterms:created>
  <dcterms:modified xsi:type="dcterms:W3CDTF">2016-02-23T09:28:00Z</dcterms:modified>
</cp:coreProperties>
</file>