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539" w:left="896" w:right="896" w:header="720" w:footer="720"/>
          <w:pgNumType w:start="1"/>
        </w:sectPr>
      </w:pPr>
      <w:bookmarkStart w:colFirst="0" w:colLast="0" w:name="_h3bnr6td7mhk" w:id="0"/>
      <w:bookmarkEnd w:id="0"/>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Relatório</w:t>
      </w:r>
      <w:r w:rsidDel="00000000" w:rsidR="00000000" w:rsidRPr="00000000">
        <w:rPr>
          <w:rtl w:val="0"/>
        </w:rPr>
      </w:r>
    </w:p>
    <w:p w:rsidR="00000000" w:rsidDel="00000000" w:rsidP="00000000" w:rsidRDefault="00000000" w:rsidRPr="00000000" w14:paraId="00000002">
      <w:pPr>
        <w:pStyle w:val="Title"/>
        <w:rPr>
          <w:color w:val="ff0000"/>
        </w:rPr>
      </w:pPr>
      <w:bookmarkStart w:colFirst="0" w:colLast="0" w:name="_ru0lmciurpx1" w:id="1"/>
      <w:bookmarkEnd w:id="1"/>
      <w:r w:rsidDel="00000000" w:rsidR="00000000" w:rsidRPr="00000000">
        <w:rPr>
          <w:rtl w:val="0"/>
        </w:rPr>
        <w:t xml:space="preserve">Teaching Computational Skills to Non-IT Students: A Systematic Literature Review </w:t>
      </w:r>
      <w:r w:rsidDel="00000000" w:rsidR="00000000" w:rsidRPr="00000000">
        <w:rPr>
          <w:rtl w:val="0"/>
        </w:rPr>
      </w:r>
    </w:p>
    <w:p w:rsidR="00000000" w:rsidDel="00000000" w:rsidP="00000000" w:rsidRDefault="00000000" w:rsidRPr="00000000" w14:paraId="00000003">
      <w:pPr>
        <w:spacing w:line="302.166" w:lineRule="auto"/>
        <w:jc w:val="center"/>
        <w:rPr>
          <w:rFonts w:ascii="Times New Roman" w:cs="Times New Roman" w:eastAsia="Times New Roman" w:hAnsi="Times New Roman"/>
          <w:sz w:val="18"/>
          <w:szCs w:val="18"/>
          <w:highlight w:val="white"/>
        </w:rPr>
        <w:sectPr>
          <w:footerReference r:id="rId6" w:type="default"/>
          <w:type w:val="nextPage"/>
          <w:pgSz w:h="16834" w:w="11909" w:orient="portrait"/>
          <w:pgMar w:bottom="1440" w:top="539" w:left="896" w:right="896" w:header="720" w:footer="720"/>
          <w:pgNumType w:start="1"/>
        </w:sectPr>
      </w:pPr>
      <w:r w:rsidDel="00000000" w:rsidR="00000000" w:rsidRPr="00000000">
        <w:rPr>
          <w:rtl w:val="0"/>
        </w:rPr>
      </w:r>
    </w:p>
    <w:p w:rsidR="00000000" w:rsidDel="00000000" w:rsidP="00000000" w:rsidRDefault="00000000" w:rsidRPr="00000000" w14:paraId="00000004">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Alexandre Cabral  </w:t>
      </w:r>
    </w:p>
    <w:p w:rsidR="00000000" w:rsidDel="00000000" w:rsidP="00000000" w:rsidRDefault="00000000" w:rsidRPr="00000000" w14:paraId="00000005">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Informatics Center</w:t>
      </w:r>
      <w:r w:rsidDel="00000000" w:rsidR="00000000" w:rsidRPr="00000000">
        <w:rPr>
          <w:rtl w:val="0"/>
        </w:rPr>
      </w:r>
    </w:p>
    <w:p w:rsidR="00000000" w:rsidDel="00000000" w:rsidP="00000000" w:rsidRDefault="00000000" w:rsidRPr="00000000" w14:paraId="00000006">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Federal University of Pernambuco</w:t>
      </w:r>
      <w:r w:rsidDel="00000000" w:rsidR="00000000" w:rsidRPr="00000000">
        <w:rPr>
          <w:rtl w:val="0"/>
        </w:rPr>
      </w:r>
    </w:p>
    <w:p w:rsidR="00000000" w:rsidDel="00000000" w:rsidP="00000000" w:rsidRDefault="00000000" w:rsidRPr="00000000" w14:paraId="00000007">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Recife, Brazil </w:t>
      </w:r>
    </w:p>
    <w:p w:rsidR="00000000" w:rsidDel="00000000" w:rsidP="00000000" w:rsidRDefault="00000000" w:rsidRPr="00000000" w14:paraId="00000008">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asc5@cin.ufpe.br</w:t>
      </w:r>
    </w:p>
    <w:p w:rsidR="00000000" w:rsidDel="00000000" w:rsidP="00000000" w:rsidRDefault="00000000" w:rsidRPr="00000000" w14:paraId="00000009">
      <w:pPr>
        <w:spacing w:line="302.166" w:lineRule="auto"/>
        <w:jc w:val="cente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0A">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Felipe Lima</w:t>
      </w:r>
    </w:p>
    <w:p w:rsidR="00000000" w:rsidDel="00000000" w:rsidP="00000000" w:rsidRDefault="00000000" w:rsidRPr="00000000" w14:paraId="0000000B">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Informatics Center</w:t>
      </w:r>
      <w:r w:rsidDel="00000000" w:rsidR="00000000" w:rsidRPr="00000000">
        <w:rPr>
          <w:rtl w:val="0"/>
        </w:rPr>
      </w:r>
    </w:p>
    <w:p w:rsidR="00000000" w:rsidDel="00000000" w:rsidP="00000000" w:rsidRDefault="00000000" w:rsidRPr="00000000" w14:paraId="0000000C">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Federal University of Pernambuco</w:t>
      </w:r>
      <w:r w:rsidDel="00000000" w:rsidR="00000000" w:rsidRPr="00000000">
        <w:rPr>
          <w:rtl w:val="0"/>
        </w:rPr>
      </w:r>
    </w:p>
    <w:p w:rsidR="00000000" w:rsidDel="00000000" w:rsidP="00000000" w:rsidRDefault="00000000" w:rsidRPr="00000000" w14:paraId="0000000D">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Recife, Brazil </w:t>
      </w:r>
    </w:p>
    <w:p w:rsidR="00000000" w:rsidDel="00000000" w:rsidP="00000000" w:rsidRDefault="00000000" w:rsidRPr="00000000" w14:paraId="0000000E">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fal6@cin.ufpe.br</w:t>
      </w:r>
    </w:p>
    <w:p w:rsidR="00000000" w:rsidDel="00000000" w:rsidP="00000000" w:rsidRDefault="00000000" w:rsidRPr="00000000" w14:paraId="0000000F">
      <w:pPr>
        <w:spacing w:line="302.166" w:lineRule="auto"/>
        <w:jc w:val="cente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10">
      <w:pPr>
        <w:spacing w:line="302.166" w:lineRule="auto"/>
        <w:jc w:val="center"/>
        <w:rPr>
          <w:rFonts w:ascii="Times New Roman" w:cs="Times New Roman" w:eastAsia="Times New Roman" w:hAnsi="Times New Roman"/>
          <w:sz w:val="18"/>
          <w:szCs w:val="18"/>
          <w:highlight w:val="white"/>
        </w:rPr>
      </w:pPr>
      <w:r w:rsidDel="00000000" w:rsidR="00000000" w:rsidRPr="00000000">
        <w:br w:type="column"/>
      </w:r>
      <w:r w:rsidDel="00000000" w:rsidR="00000000" w:rsidRPr="00000000">
        <w:rPr>
          <w:rtl w:val="0"/>
        </w:rPr>
      </w:r>
    </w:p>
    <w:p w:rsidR="00000000" w:rsidDel="00000000" w:rsidP="00000000" w:rsidRDefault="00000000" w:rsidRPr="00000000" w14:paraId="00000011">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Cayo Andrade </w:t>
      </w:r>
    </w:p>
    <w:p w:rsidR="00000000" w:rsidDel="00000000" w:rsidP="00000000" w:rsidRDefault="00000000" w:rsidRPr="00000000" w14:paraId="00000012">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Informatics Center</w:t>
      </w:r>
      <w:r w:rsidDel="00000000" w:rsidR="00000000" w:rsidRPr="00000000">
        <w:rPr>
          <w:rtl w:val="0"/>
        </w:rPr>
      </w:r>
    </w:p>
    <w:p w:rsidR="00000000" w:rsidDel="00000000" w:rsidP="00000000" w:rsidRDefault="00000000" w:rsidRPr="00000000" w14:paraId="00000013">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Federal University of Pernambuco</w:t>
      </w:r>
      <w:r w:rsidDel="00000000" w:rsidR="00000000" w:rsidRPr="00000000">
        <w:rPr>
          <w:rtl w:val="0"/>
        </w:rPr>
      </w:r>
    </w:p>
    <w:p w:rsidR="00000000" w:rsidDel="00000000" w:rsidP="00000000" w:rsidRDefault="00000000" w:rsidRPr="00000000" w14:paraId="00000014">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Recife, Brazil </w:t>
      </w:r>
    </w:p>
    <w:p w:rsidR="00000000" w:rsidDel="00000000" w:rsidP="00000000" w:rsidRDefault="00000000" w:rsidRPr="00000000" w14:paraId="00000015">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crma@cin.ufpe.br</w:t>
      </w:r>
    </w:p>
    <w:p w:rsidR="00000000" w:rsidDel="00000000" w:rsidP="00000000" w:rsidRDefault="00000000" w:rsidRPr="00000000" w14:paraId="00000016">
      <w:pPr>
        <w:spacing w:line="302.166" w:lineRule="auto"/>
        <w:jc w:val="center"/>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017">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Malu Silva</w:t>
      </w:r>
    </w:p>
    <w:p w:rsidR="00000000" w:rsidDel="00000000" w:rsidP="00000000" w:rsidRDefault="00000000" w:rsidRPr="00000000" w14:paraId="00000018">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Informatics Center</w:t>
      </w:r>
      <w:r w:rsidDel="00000000" w:rsidR="00000000" w:rsidRPr="00000000">
        <w:rPr>
          <w:rtl w:val="0"/>
        </w:rPr>
      </w:r>
    </w:p>
    <w:p w:rsidR="00000000" w:rsidDel="00000000" w:rsidP="00000000" w:rsidRDefault="00000000" w:rsidRPr="00000000" w14:paraId="00000019">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Federal University of Pernambuco</w:t>
      </w:r>
      <w:r w:rsidDel="00000000" w:rsidR="00000000" w:rsidRPr="00000000">
        <w:rPr>
          <w:rtl w:val="0"/>
        </w:rPr>
      </w:r>
    </w:p>
    <w:p w:rsidR="00000000" w:rsidDel="00000000" w:rsidP="00000000" w:rsidRDefault="00000000" w:rsidRPr="00000000" w14:paraId="0000001A">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Recife, Brazil </w:t>
      </w:r>
    </w:p>
    <w:p w:rsidR="00000000" w:rsidDel="00000000" w:rsidP="00000000" w:rsidRDefault="00000000" w:rsidRPr="00000000" w14:paraId="0000001B">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mxs@cin.ufpe.br</w:t>
      </w:r>
      <w:r w:rsidDel="00000000" w:rsidR="00000000" w:rsidRPr="00000000">
        <w:br w:type="column"/>
      </w:r>
      <w:r w:rsidDel="00000000" w:rsidR="00000000" w:rsidRPr="00000000">
        <w:rPr>
          <w:rtl w:val="0"/>
        </w:rPr>
      </w:r>
    </w:p>
    <w:p w:rsidR="00000000" w:rsidDel="00000000" w:rsidP="00000000" w:rsidRDefault="00000000" w:rsidRPr="00000000" w14:paraId="0000001C">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Danilo Silva </w:t>
      </w:r>
    </w:p>
    <w:p w:rsidR="00000000" w:rsidDel="00000000" w:rsidP="00000000" w:rsidRDefault="00000000" w:rsidRPr="00000000" w14:paraId="0000001D">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Informatics Center</w:t>
      </w:r>
      <w:r w:rsidDel="00000000" w:rsidR="00000000" w:rsidRPr="00000000">
        <w:rPr>
          <w:rtl w:val="0"/>
        </w:rPr>
      </w:r>
    </w:p>
    <w:p w:rsidR="00000000" w:rsidDel="00000000" w:rsidP="00000000" w:rsidRDefault="00000000" w:rsidRPr="00000000" w14:paraId="0000001E">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Federal University of Pernambuco</w:t>
      </w:r>
      <w:r w:rsidDel="00000000" w:rsidR="00000000" w:rsidRPr="00000000">
        <w:rPr>
          <w:rtl w:val="0"/>
        </w:rPr>
      </w:r>
    </w:p>
    <w:p w:rsidR="00000000" w:rsidDel="00000000" w:rsidP="00000000" w:rsidRDefault="00000000" w:rsidRPr="00000000" w14:paraId="0000001F">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Recife, Brazil </w:t>
      </w:r>
    </w:p>
    <w:p w:rsidR="00000000" w:rsidDel="00000000" w:rsidP="00000000" w:rsidRDefault="00000000" w:rsidRPr="00000000" w14:paraId="00000020">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 dfss@cin.ufpe.br </w:t>
      </w:r>
    </w:p>
    <w:p w:rsidR="00000000" w:rsidDel="00000000" w:rsidP="00000000" w:rsidRDefault="00000000" w:rsidRPr="00000000" w14:paraId="00000021">
      <w:pPr>
        <w:spacing w:line="302.166" w:lineRule="auto"/>
        <w:jc w:val="center"/>
        <w:rPr>
          <w:rFonts w:ascii="Times New Roman" w:cs="Times New Roman" w:eastAsia="Times New Roman" w:hAnsi="Times New Roman"/>
          <w:sz w:val="18"/>
          <w:szCs w:val="18"/>
          <w:highlight w:val="white"/>
        </w:rPr>
        <w:sectPr>
          <w:footerReference r:id="rId7" w:type="default"/>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tl w:val="0"/>
        </w:rPr>
      </w:r>
    </w:p>
    <w:p w:rsidR="00000000" w:rsidDel="00000000" w:rsidP="00000000" w:rsidRDefault="00000000" w:rsidRPr="00000000" w14:paraId="00000022">
      <w:pPr>
        <w:spacing w:line="302" w:lineRule="auto"/>
        <w:rPr>
          <w:rFonts w:ascii="Times New Roman" w:cs="Times New Roman" w:eastAsia="Times New Roman" w:hAnsi="Times New Roman"/>
          <w:sz w:val="18"/>
          <w:szCs w:val="18"/>
          <w:highlight w:val="white"/>
        </w:rPr>
        <w:sectPr>
          <w:footerReference r:id="rId8" w:type="default"/>
          <w:type w:val="continuous"/>
          <w:pgSz w:h="16834" w:w="11909" w:orient="portrait"/>
          <w:pgMar w:bottom="1440" w:top="448" w:left="896" w:right="896" w:header="720" w:footer="720"/>
          <w:cols w:equalWidth="0" w:num="3">
            <w:col w:space="720" w:w="2892.333333333334"/>
            <w:col w:space="720" w:w="2892.333333333334"/>
            <w:col w:space="0" w:w="2892.333333333334"/>
          </w:cols>
        </w:sectPr>
      </w:pPr>
      <w:r w:rsidDel="00000000" w:rsidR="00000000" w:rsidRPr="00000000">
        <w:rPr>
          <w:rtl w:val="0"/>
        </w:rPr>
      </w:r>
    </w:p>
    <w:p w:rsidR="00000000" w:rsidDel="00000000" w:rsidP="00000000" w:rsidRDefault="00000000" w:rsidRPr="00000000" w14:paraId="00000023">
      <w:pPr>
        <w:spacing w:line="302" w:lineRule="auto"/>
        <w:jc w:val="center"/>
        <w:rPr>
          <w:rFonts w:ascii="Times New Roman" w:cs="Times New Roman" w:eastAsia="Times New Roman" w:hAnsi="Times New Roman"/>
          <w:sz w:val="18"/>
          <w:szCs w:val="18"/>
          <w:highlight w:val="white"/>
        </w:rPr>
        <w:sectPr>
          <w:footerReference r:id="rId9" w:type="default"/>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24">
      <w:pPr>
        <w:shd w:fill="ffffff" w:val="clear"/>
        <w:spacing w:after="120" w:line="302" w:lineRule="auto"/>
        <w:ind w:firstLine="280"/>
        <w:jc w:val="both"/>
        <w:rPr>
          <w:rFonts w:ascii="Times New Roman" w:cs="Times New Roman" w:eastAsia="Times New Roman" w:hAnsi="Times New Roman"/>
          <w:b w:val="1"/>
          <w:bCs w:val="1"/>
          <w:color w:val="ff0000"/>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Abstract</w:t>
      </w:r>
      <w:r w:rsidDel="00000000" w:rsidR="00000000" w:rsidRPr="00000000">
        <w:rPr>
          <w:rFonts w:ascii="Times New Roman" w:cs="Times New Roman" w:eastAsia="Times New Roman" w:hAnsi="Times New Roman"/>
          <w:b w:val="1"/>
          <w:bCs w:val="1"/>
          <w:sz w:val="18"/>
          <w:szCs w:val="18"/>
          <w:highlight w:val="white"/>
          <w:rtl w:val="0"/>
        </w:rPr>
        <w:t xml:space="preserve">—This study investigates the technical difficulties faced by non-Information Technology (IT) undergraduate and graduate students when acquiring computational skills. To address the growing demand for programming proficiency across disciplines, this Systematic Mapping Study (SMS) analyzes the educational contexts, technical barriers, pedagogical methods, academic impacts, and overarching challenges of teaching computing to this audience. Following established guidelines, we analyzed 8 primary studies published between 2020 and 2026 from ACM, IEEE, and SCOPUS, selected through rigorous quality criteria. Findings indicate that non-IT students face significant technical hurdles beyond memorizing syntax, struggling with logical structures, debugging, and foundational computational thinking. These difficulties result in severe impacts, including emotional distress, disengagement, and limited independent research capabilities. However, these barriers can be effectively mitigated through active learning, cognitive scaffolding, guided inquiry, and problem-based instruction anchored in the students' original domains. Persistent challenges remain, notably structural institutional barriers, pedagogical gaps, and socio-emotional factors like isolation and negative stereotypes. In summary, teaching computational skills is a profound socio-technical transformation rather than a mere transfer of syntax. This paper provides a structured overview of the current educational landscape and offers implications for building more inclusive and contextually relevant computing curricula.</w:t>
      </w:r>
      <w:r w:rsidDel="00000000" w:rsidR="00000000" w:rsidRPr="00000000">
        <w:rPr>
          <w:rFonts w:ascii="Times New Roman" w:cs="Times New Roman" w:eastAsia="Times New Roman" w:hAnsi="Times New Roman"/>
          <w:b w:val="1"/>
          <w:bCs w:val="1"/>
          <w:color w:val="ff0000"/>
          <w:sz w:val="18"/>
          <w:szCs w:val="18"/>
          <w:highlight w:val="white"/>
          <w:rtl w:val="0"/>
        </w:rPr>
        <w:t xml:space="preserve"> </w:t>
      </w:r>
    </w:p>
    <w:p w:rsidR="00000000" w:rsidDel="00000000" w:rsidP="00000000" w:rsidRDefault="00000000" w:rsidRPr="00000000" w14:paraId="00000025">
      <w:pPr>
        <w:shd w:fill="ffffff" w:val="clear"/>
        <w:spacing w:after="120" w:line="302" w:lineRule="auto"/>
        <w:ind w:firstLine="280"/>
        <w:jc w:val="both"/>
        <w:rPr>
          <w:rFonts w:ascii="Times New Roman" w:cs="Times New Roman" w:eastAsia="Times New Roman" w:hAnsi="Times New Roman"/>
          <w:b w:val="1"/>
          <w:bCs w:val="1"/>
          <w:i w:val="1"/>
          <w:i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Keywords—Computing Education, Non-IT Students, Systematic Literature Review, Computational Thinking, Technical Difficulties, Interdisciplinary Education.</w:t>
      </w:r>
    </w:p>
    <w:p w:rsidR="00000000" w:rsidDel="00000000" w:rsidP="00000000" w:rsidRDefault="00000000" w:rsidRPr="00000000" w14:paraId="00000026">
      <w:pPr>
        <w:pStyle w:val="Heading1"/>
        <w:numPr>
          <w:ilvl w:val="0"/>
          <w:numId w:val="5"/>
        </w:numPr>
        <w:rPr>
          <w:smallCaps w:val="1"/>
          <w:highlight w:val="white"/>
        </w:rPr>
      </w:pPr>
      <w:bookmarkStart w:colFirst="0" w:colLast="0" w:name="_mj8tuea2inzc" w:id="2"/>
      <w:bookmarkEnd w:id="2"/>
      <w:r w:rsidDel="00000000" w:rsidR="00000000" w:rsidRPr="00000000">
        <w:rPr>
          <w:rtl w:val="0"/>
        </w:rPr>
        <w:t xml:space="preserve">Introduction</w:t>
      </w:r>
    </w:p>
    <w:p w:rsidR="00000000" w:rsidDel="00000000" w:rsidP="00000000" w:rsidRDefault="00000000" w:rsidRPr="00000000" w14:paraId="00000027">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Interdisciplinary research is the cornerstone of modern scientific progress, enabling the fusion of diverse fields to solve complex problems that a single discipline cannot address alone. In this era of digital transformation, the ability to manipulate data and develop software has transitioned from a niche technical skill to a fundamental requirement across various domains, such as biology, social sciences, and engineering. However, the migration of students from non-computing backgrounds into graduate programs in Information Technology (IT) creates a significant pedagogical challenge. While these students bring valuable domain expertise, they often face a steep learning curve characterized by technical gaps that can hinder their academic progress and research autonomy.</w:t>
      </w:r>
    </w:p>
    <w:p w:rsidR="00000000" w:rsidDel="00000000" w:rsidP="00000000" w:rsidRDefault="00000000" w:rsidRPr="00000000" w14:paraId="00000028">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Existing literature highlights that the transition into graduate-level computing is not merely a matter of learning a new tool, but of adopting an entirely different mental model for problem-solving. These technical barriers—ranging from syntax frustrations to deeper issues with computational thinking—often lead to a "trial-and-error" approach rather than structured development. Thus, through a Systematic Mapping Study (SMS) following the methodology of Kitchenham and Charters (2007), this study aims to investigate the technical difficulties faced by non-CS majors entering graduate programs. It seeks to identify the most prevalent obstacles, their impact on academic performance, and the pedagogical methods currently employed to bridge these gaps.</w:t>
      </w:r>
    </w:p>
    <w:p w:rsidR="00000000" w:rsidDel="00000000" w:rsidP="00000000" w:rsidRDefault="00000000" w:rsidRPr="00000000" w14:paraId="00000029">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study is grounded in Computational Thinking and Data Literacy, viewing the acquisition of computing skills as a process of building cognitive scaffolds that enable students to translate domain problems into logical, executable solutions. It assumes that successful integration depends on the educational system's capacity to provide contextualized support that respects prior expertise while dismantling technical barriers, contributing to a more inclusive and effective environment in graduate computing education.</w:t>
      </w:r>
    </w:p>
    <w:p w:rsidR="00000000" w:rsidDel="00000000" w:rsidP="00000000" w:rsidRDefault="00000000" w:rsidRPr="00000000" w14:paraId="0000002A">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paper is divided into six sections. Section II presents a background that highlights relevant themes for the context of the study; Section III describes the methodology employed for conducting the Systematic Mapping Study (SMS); Section IV presents and discusses the main results obtained; Section V summarizes the findings through a conceptual synthesis; and finally, Section VI provides the conclusions, addresses threats to validity, and suggests avenues for future research.</w:t>
      </w:r>
    </w:p>
    <w:p w:rsidR="00000000" w:rsidDel="00000000" w:rsidP="00000000" w:rsidRDefault="00000000" w:rsidRPr="00000000" w14:paraId="0000002B">
      <w:pPr>
        <w:pStyle w:val="Heading1"/>
        <w:numPr>
          <w:ilvl w:val="0"/>
          <w:numId w:val="35"/>
        </w:numPr>
        <w:rPr>
          <w:smallCaps w:val="1"/>
          <w:highlight w:val="white"/>
        </w:rPr>
      </w:pPr>
      <w:bookmarkStart w:colFirst="0" w:colLast="0" w:name="_r8ugl4wemd0z" w:id="3"/>
      <w:bookmarkEnd w:id="3"/>
      <w:r w:rsidDel="00000000" w:rsidR="00000000" w:rsidRPr="00000000">
        <w:rPr>
          <w:rtl w:val="0"/>
        </w:rPr>
        <w:t xml:space="preserve">Background </w:t>
      </w:r>
    </w:p>
    <w:p w:rsidR="00000000" w:rsidDel="00000000" w:rsidP="00000000" w:rsidRDefault="00000000" w:rsidRPr="00000000" w14:paraId="0000002C">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growing integration of computational tools across scientific disciplines has fundamentally altered what it means to be a competent researcher in the twenty-first century. This transformation is anchored in the concept of Computational Thinking (CT), introduced by Wing (2006) as a cross-disciplinary cognitive framework encompassing problem decomposition, abstraction, and algorithmic reasoning — skills valuable not only to computer scientists, but to anyone navigating complex problems across domains. As a consequence, fields such as bioinformatics, computational statistics, and data-driven social science now depend on programming fluency as a core methodological competency (Weintrop et al., 2016), and interdisciplinary graduate programs increasingly position computing as a tool for domain experts rather than as a discipline in itself. This shift places students without prior IT backgrounds directly in the path of significant technical difficulties, in a context where data analytics and data science rank consistently among the most in-demand graduate skills and where the U.S. Bureau of Labor Statistics projects employment in computer and information research science to grow significantly faster than average through 2030.</w:t>
      </w:r>
    </w:p>
    <w:p w:rsidR="00000000" w:rsidDel="00000000" w:rsidP="00000000" w:rsidRDefault="00000000" w:rsidRPr="00000000" w14:paraId="0000002D">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Programming and algorithmic reasoning have historically proven challenging even for students in computing programs, for whom they are a central curricular priority. Morais, Mendes Neto, and Osório (2020), in a systematic literature review of 33 studies on programming learning in higher education, found that the most persistent difficulties cluster around logical reasoning, data structures, debugging, and the construction of correct mental models of program behavior — triggering consequences such as increased failure rates, reduced motivation, and negative self-assessments of technical ability. These challenges are likely substantially amplified for graduate students entering computing from other disciplines, who simultaneously lack foundational CS preparation and face the time pressures of producing original research in their primary fields. Understanding the nature, scope, and consequences of these difficulties constitutes the central motivation for the Systematic Mapping Study reported here, conducted in accordance with the guidelines proposed by Kitchenham and Charters (2007).</w:t>
      </w:r>
    </w:p>
    <w:p w:rsidR="00000000" w:rsidDel="00000000" w:rsidP="00000000" w:rsidRDefault="00000000" w:rsidRPr="00000000" w14:paraId="0000002E">
      <w:pPr>
        <w:pStyle w:val="Heading1"/>
        <w:numPr>
          <w:ilvl w:val="0"/>
          <w:numId w:val="23"/>
        </w:numPr>
        <w:rPr>
          <w:smallCaps w:val="1"/>
          <w:highlight w:val="white"/>
        </w:rPr>
      </w:pPr>
      <w:bookmarkStart w:colFirst="0" w:colLast="0" w:name="_v7dojvt4oytv" w:id="4"/>
      <w:bookmarkEnd w:id="4"/>
      <w:r w:rsidDel="00000000" w:rsidR="00000000" w:rsidRPr="00000000">
        <w:rPr>
          <w:rtl w:val="0"/>
        </w:rPr>
        <w:t xml:space="preserve">Research method </w:t>
      </w:r>
    </w:p>
    <w:p w:rsidR="00000000" w:rsidDel="00000000" w:rsidP="00000000" w:rsidRDefault="00000000" w:rsidRPr="00000000" w14:paraId="0000002F">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study was conducted in accordance with the Systematic Mapping Study approach introduced by Kitchenham and Charters (2007), through three stages: </w:t>
      </w:r>
      <w:r w:rsidDel="00000000" w:rsidR="00000000" w:rsidRPr="00000000">
        <w:rPr>
          <w:rFonts w:ascii="Times New Roman" w:cs="Times New Roman" w:eastAsia="Times New Roman" w:hAnsi="Times New Roman"/>
          <w:i w:val="1"/>
          <w:iCs w:val="1"/>
          <w:sz w:val="20"/>
          <w:szCs w:val="20"/>
          <w:highlight w:val="white"/>
          <w:rtl w:val="0"/>
        </w:rPr>
        <w:t xml:space="preserve">planning</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i w:val="1"/>
          <w:iCs w:val="1"/>
          <w:sz w:val="20"/>
          <w:szCs w:val="20"/>
          <w:highlight w:val="white"/>
          <w:rtl w:val="0"/>
        </w:rPr>
        <w:t xml:space="preserve">conducting </w:t>
      </w:r>
      <w:r w:rsidDel="00000000" w:rsidR="00000000" w:rsidRPr="00000000">
        <w:rPr>
          <w:rFonts w:ascii="Times New Roman" w:cs="Times New Roman" w:eastAsia="Times New Roman" w:hAnsi="Times New Roman"/>
          <w:sz w:val="20"/>
          <w:szCs w:val="20"/>
          <w:highlight w:val="white"/>
          <w:rtl w:val="0"/>
        </w:rPr>
        <w:t xml:space="preserve">and </w:t>
      </w:r>
      <w:r w:rsidDel="00000000" w:rsidR="00000000" w:rsidRPr="00000000">
        <w:rPr>
          <w:rFonts w:ascii="Times New Roman" w:cs="Times New Roman" w:eastAsia="Times New Roman" w:hAnsi="Times New Roman"/>
          <w:i w:val="1"/>
          <w:iCs w:val="1"/>
          <w:sz w:val="20"/>
          <w:szCs w:val="20"/>
          <w:highlight w:val="white"/>
          <w:rtl w:val="0"/>
        </w:rPr>
        <w:t xml:space="preserve">reporting </w:t>
      </w:r>
      <w:r w:rsidDel="00000000" w:rsidR="00000000" w:rsidRPr="00000000">
        <w:rPr>
          <w:rFonts w:ascii="Times New Roman" w:cs="Times New Roman" w:eastAsia="Times New Roman" w:hAnsi="Times New Roman"/>
          <w:sz w:val="20"/>
          <w:szCs w:val="20"/>
          <w:highlight w:val="white"/>
          <w:rtl w:val="0"/>
        </w:rPr>
        <w:t xml:space="preserve">the study.</w:t>
      </w:r>
    </w:p>
    <w:p w:rsidR="00000000" w:rsidDel="00000000" w:rsidP="00000000" w:rsidRDefault="00000000" w:rsidRPr="00000000" w14:paraId="00000030">
      <w:pPr>
        <w:pStyle w:val="Heading2"/>
        <w:numPr>
          <w:ilvl w:val="0"/>
          <w:numId w:val="16"/>
        </w:numPr>
        <w:rPr>
          <w:highlight w:val="white"/>
        </w:rPr>
      </w:pPr>
      <w:bookmarkStart w:colFirst="0" w:colLast="0" w:name="_9162mi7m3757" w:id="5"/>
      <w:bookmarkEnd w:id="5"/>
      <w:r w:rsidDel="00000000" w:rsidR="00000000" w:rsidRPr="00000000">
        <w:rPr>
          <w:rtl w:val="0"/>
        </w:rPr>
        <w:t xml:space="preserve">Research Planning</w:t>
      </w:r>
    </w:p>
    <w:p w:rsidR="00000000" w:rsidDel="00000000" w:rsidP="00000000" w:rsidRDefault="00000000" w:rsidRPr="00000000" w14:paraId="00000031">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Considering the research objectives, the central question “What are the technical difficulties faced by incoming graduate students in Computer Science who do not come from the Information Technology field, and how do these difficulties impact their academic performance?” was defined and further detailed through four secondary questions: </w:t>
      </w:r>
    </w:p>
    <w:p w:rsidR="00000000" w:rsidDel="00000000" w:rsidP="00000000" w:rsidRDefault="00000000" w:rsidRPr="00000000" w14:paraId="00000032">
      <w:pPr>
        <w:numPr>
          <w:ilvl w:val="0"/>
          <w:numId w:val="33"/>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Q1: What is the context of the analyzed studies in relation to students not from IT backgrounds, considering: (i) educational level (undergraduate/graduate), (ii) course area, (iii) sample/class size, and (iv) duration of interventions or subjects?</w:t>
      </w:r>
    </w:p>
    <w:p w:rsidR="00000000" w:rsidDel="00000000" w:rsidP="00000000" w:rsidRDefault="00000000" w:rsidRPr="00000000" w14:paraId="00000033">
      <w:pPr>
        <w:numPr>
          <w:ilvl w:val="0"/>
          <w:numId w:val="33"/>
        </w:numPr>
        <w:spacing w:after="120" w:line="302" w:lineRule="auto"/>
        <w:ind w:left="100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Q2: What are the main technical difficulties (e.g., programming, mathematics, algorithms, tools)?</w:t>
      </w:r>
    </w:p>
    <w:p w:rsidR="00000000" w:rsidDel="00000000" w:rsidP="00000000" w:rsidRDefault="00000000" w:rsidRPr="00000000" w14:paraId="00000034">
      <w:pPr>
        <w:numPr>
          <w:ilvl w:val="0"/>
          <w:numId w:val="33"/>
        </w:numPr>
        <w:spacing w:after="120" w:line="302" w:lineRule="auto"/>
        <w:ind w:left="100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Q3: What methods/approaches are used to develop technical skills in these students?</w:t>
      </w:r>
    </w:p>
    <w:p w:rsidR="00000000" w:rsidDel="00000000" w:rsidP="00000000" w:rsidRDefault="00000000" w:rsidRPr="00000000" w14:paraId="00000035">
      <w:pPr>
        <w:numPr>
          <w:ilvl w:val="0"/>
          <w:numId w:val="33"/>
        </w:numPr>
        <w:spacing w:after="120" w:line="302" w:lineRule="auto"/>
        <w:ind w:left="100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Q4: How do these difficulties affect the academic performance of the target audience?</w:t>
      </w:r>
    </w:p>
    <w:p w:rsidR="00000000" w:rsidDel="00000000" w:rsidP="00000000" w:rsidRDefault="00000000" w:rsidRPr="00000000" w14:paraId="00000036">
      <w:pPr>
        <w:numPr>
          <w:ilvl w:val="0"/>
          <w:numId w:val="33"/>
        </w:numPr>
        <w:spacing w:after="120" w:line="302" w:lineRule="auto"/>
        <w:ind w:left="1000" w:hanging="36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Q5: What are the main challenges encountered in developing technical skills in the target audience?</w:t>
      </w:r>
    </w:p>
    <w:p w:rsidR="00000000" w:rsidDel="00000000" w:rsidP="00000000" w:rsidRDefault="00000000" w:rsidRPr="00000000" w14:paraId="00000037">
      <w:pPr>
        <w:pStyle w:val="Heading2"/>
        <w:numPr>
          <w:ilvl w:val="0"/>
          <w:numId w:val="24"/>
        </w:numPr>
        <w:rPr>
          <w:highlight w:val="white"/>
        </w:rPr>
      </w:pPr>
      <w:bookmarkStart w:colFirst="0" w:colLast="0" w:name="_29g7hr48givw" w:id="6"/>
      <w:bookmarkEnd w:id="6"/>
      <w:r w:rsidDel="00000000" w:rsidR="00000000" w:rsidRPr="00000000">
        <w:rPr>
          <w:rtl w:val="0"/>
        </w:rPr>
        <w:t xml:space="preserve">Research Conducting</w:t>
      </w:r>
    </w:p>
    <w:p w:rsidR="00000000" w:rsidDel="00000000" w:rsidP="00000000" w:rsidRDefault="00000000" w:rsidRPr="00000000" w14:paraId="00000038">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section details the execution of the research protocol, encompassing the search strategy, study selection, and quality assessment stages.</w:t>
      </w:r>
    </w:p>
    <w:p w:rsidR="00000000" w:rsidDel="00000000" w:rsidP="00000000" w:rsidRDefault="00000000" w:rsidRPr="00000000" w14:paraId="00000039">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Identification of Research:</w:t>
      </w:r>
      <w:r w:rsidDel="00000000" w:rsidR="00000000" w:rsidRPr="00000000">
        <w:rPr>
          <w:rFonts w:ascii="Times New Roman" w:cs="Times New Roman" w:eastAsia="Times New Roman" w:hAnsi="Times New Roman"/>
          <w:sz w:val="20"/>
          <w:szCs w:val="20"/>
          <w:highlight w:val="white"/>
          <w:rtl w:val="0"/>
        </w:rPr>
        <w:t xml:space="preserve"> The search was conducted in April 2026, targeting studies published between 2020 and 2026. Three major digital libraries were selected: ACM Digital Library, IEEE Xplore, and SCOPUS. The search string was constructed using keywords and synonyms derived from the PICO strategy, specifically:</w:t>
      </w:r>
    </w:p>
    <w:p w:rsidR="00000000" w:rsidDel="00000000" w:rsidP="00000000" w:rsidRDefault="00000000" w:rsidRPr="00000000" w14:paraId="0000003A">
      <w:pPr>
        <w:spacing w:after="120" w:line="302" w:lineRule="auto"/>
        <w:jc w:val="center"/>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("non-technical background" OR "non computing background" OR "students from other disciplines") AND ("technical skills" OR "programming skills" OR "computing skills") AND (teaching OR learning OR education) AND ("experience report" OR "case study").</w:t>
      </w:r>
    </w:p>
    <w:p w:rsidR="00000000" w:rsidDel="00000000" w:rsidP="00000000" w:rsidRDefault="00000000" w:rsidRPr="00000000" w14:paraId="0000003B">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initial automated search yielded a total of 133 results (ACM: 26; IEEE: 39; SCOPUS: 68).</w:t>
      </w:r>
    </w:p>
    <w:p w:rsidR="00000000" w:rsidDel="00000000" w:rsidP="00000000" w:rsidRDefault="00000000" w:rsidRPr="00000000" w14:paraId="0000003C">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Selection of Primary Studies:</w:t>
      </w:r>
      <w:r w:rsidDel="00000000" w:rsidR="00000000" w:rsidRPr="00000000">
        <w:rPr>
          <w:rFonts w:ascii="Times New Roman" w:cs="Times New Roman" w:eastAsia="Times New Roman" w:hAnsi="Times New Roman"/>
          <w:sz w:val="20"/>
          <w:szCs w:val="20"/>
          <w:highlight w:val="white"/>
          <w:rtl w:val="0"/>
        </w:rPr>
        <w:t xml:space="preserve"> The selection process followed two main phases: (i) title and abstract screening and (ii) full-text reading. During these phases, the predefined Inclusion and Exclusion criteria were applied.</w:t>
      </w:r>
    </w:p>
    <w:p w:rsidR="00000000" w:rsidDel="00000000" w:rsidP="00000000" w:rsidRDefault="00000000" w:rsidRPr="00000000" w14:paraId="0000003D">
      <w:pPr>
        <w:numPr>
          <w:ilvl w:val="0"/>
          <w:numId w:val="33"/>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Exclusion: We removed studies published outside the 2020-2026 window, secondary studies (SLRs/Mappings), papers with fewer than 4 or more than 30 pages, non-English publications, and those unrelated to the core theme.</w:t>
      </w:r>
    </w:p>
    <w:p w:rsidR="00000000" w:rsidDel="00000000" w:rsidP="00000000" w:rsidRDefault="00000000" w:rsidRPr="00000000" w14:paraId="0000003E">
      <w:pPr>
        <w:numPr>
          <w:ilvl w:val="0"/>
          <w:numId w:val="33"/>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Inclusion: We prioritized case studies addressing education for technical skill development in students without a computing background.</w:t>
      </w:r>
    </w:p>
    <w:p w:rsidR="00000000" w:rsidDel="00000000" w:rsidP="00000000" w:rsidRDefault="00000000" w:rsidRPr="00000000" w14:paraId="0000003F">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After applying these filters, 9 studies remained for detailed evaluation (ACM: 4; IEEE: 3; SCOPUS: 2).</w:t>
      </w:r>
    </w:p>
    <w:p w:rsidR="00000000" w:rsidDel="00000000" w:rsidP="00000000" w:rsidRDefault="00000000" w:rsidRPr="00000000" w14:paraId="00000040">
      <w:pPr>
        <w:shd w:fill="ffffff" w:val="clear"/>
        <w:spacing w:after="120" w:line="302" w:lineRule="auto"/>
        <w:ind w:firstLine="283.4645669291338"/>
        <w:jc w:val="both"/>
        <w:rPr/>
      </w:pPr>
      <w:r w:rsidDel="00000000" w:rsidR="00000000" w:rsidRPr="00000000">
        <w:rPr>
          <w:rFonts w:ascii="Times New Roman" w:cs="Times New Roman" w:eastAsia="Times New Roman" w:hAnsi="Times New Roman"/>
          <w:b w:val="1"/>
          <w:bCs w:val="1"/>
          <w:sz w:val="20"/>
          <w:szCs w:val="20"/>
          <w:highlight w:val="white"/>
          <w:rtl w:val="0"/>
        </w:rPr>
        <w:t xml:space="preserve">Quality Assessment and Synthesis:</w:t>
      </w:r>
      <w:r w:rsidDel="00000000" w:rsidR="00000000" w:rsidRPr="00000000">
        <w:rPr>
          <w:rFonts w:ascii="Times New Roman" w:cs="Times New Roman" w:eastAsia="Times New Roman" w:hAnsi="Times New Roman"/>
          <w:sz w:val="20"/>
          <w:szCs w:val="20"/>
          <w:highlight w:val="white"/>
          <w:rtl w:val="0"/>
        </w:rPr>
        <w:t xml:space="preserve"> To ensure the rigor of the findings, the 9 remaining articles were subjected to a Quality Assessment (QA) based on five criteria: Methodology (CQ1), Context (CQ2), Objectives (CQ3), Discussion of Results (CQ4), and Disclosure of Challenges/Limitations (CQ5).</w:t>
      </w:r>
      <w:r w:rsidDel="00000000" w:rsidR="00000000" w:rsidRPr="00000000">
        <w:rPr>
          <w:rFonts w:ascii="Times New Roman" w:cs="Times New Roman" w:eastAsia="Times New Roman" w:hAnsi="Times New Roman"/>
          <w:b w:val="1"/>
          <w:bCs w:val="1"/>
          <w:sz w:val="20"/>
          <w:szCs w:val="20"/>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The assessment was performed using an evidence-based scoring system (1 for "Fully meets," 0.5 for "Partially meets," and 0 for "Does not meet"). The process was supported by NotebookLM for initial scoring and meticulously supervised and validated by the research team. Only studies with a final score of 3.0 or higher were selected. This stage resulted in a final set of 8 primary studies (ACM: 3; IEEE: 3; SCOPUS: 2).</w:t>
      </w:r>
      <w:r w:rsidDel="00000000" w:rsidR="00000000" w:rsidRPr="00000000">
        <w:rPr>
          <w:rtl w:val="0"/>
        </w:rPr>
      </w:r>
    </w:p>
    <w:p w:rsidR="00000000" w:rsidDel="00000000" w:rsidP="00000000" w:rsidRDefault="00000000" w:rsidRPr="00000000" w14:paraId="00000041">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Finally, a data extraction form was used to answer the research questions (Q1–Q5). The responsiveness was measured on a scale of 0 to 1, ensuring that the synthesis provides a direct and evidence-based answer to the</w:t>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highlight w:val="white"/>
          <w:rtl w:val="0"/>
        </w:rPr>
        <w:t xml:space="preserve">technical difficulties faced by the target audience. All studies and details (selected studies, qualifications, categorization, categories more evident) can be found at the </w:t>
      </w:r>
      <w:hyperlink r:id="rId10">
        <w:r w:rsidDel="00000000" w:rsidR="00000000" w:rsidRPr="00000000">
          <w:rPr>
            <w:rFonts w:ascii="Times New Roman" w:cs="Times New Roman" w:eastAsia="Times New Roman" w:hAnsi="Times New Roman"/>
            <w:color w:val="1155cc"/>
            <w:sz w:val="20"/>
            <w:szCs w:val="20"/>
            <w:highlight w:val="white"/>
            <w:u w:val="single"/>
            <w:rtl w:val="0"/>
          </w:rPr>
          <w:t xml:space="preserve">spreadsheet-link</w:t>
        </w:r>
      </w:hyperlink>
      <w:r w:rsidDel="00000000" w:rsidR="00000000" w:rsidRPr="00000000">
        <w:rPr>
          <w:rFonts w:ascii="Times New Roman" w:cs="Times New Roman" w:eastAsia="Times New Roman" w:hAnsi="Times New Roman"/>
          <w:sz w:val="20"/>
          <w:szCs w:val="20"/>
          <w:highlight w:val="white"/>
          <w:rtl w:val="0"/>
        </w:rPr>
        <w:t xml:space="preserve">. For reference, a table of the selected studies follows:</w:t>
      </w:r>
    </w:p>
    <w:p w:rsidR="00000000" w:rsidDel="00000000" w:rsidP="00000000" w:rsidRDefault="00000000" w:rsidRPr="00000000" w14:paraId="00000042">
      <w:pPr>
        <w:widowControl w:val="0"/>
        <w:spacing w:line="240" w:lineRule="auto"/>
        <w:rPr>
          <w:rFonts w:ascii="Times New Roman" w:cs="Times New Roman" w:eastAsia="Times New Roman" w:hAnsi="Times New Roman"/>
          <w:smallCaps w:val="1"/>
          <w:sz w:val="16"/>
          <w:szCs w:val="16"/>
        </w:rPr>
      </w:pPr>
      <w:r w:rsidDel="00000000" w:rsidR="00000000" w:rsidRPr="00000000">
        <w:rPr>
          <w:rFonts w:ascii="Times New Roman" w:cs="Times New Roman" w:eastAsia="Times New Roman" w:hAnsi="Times New Roman"/>
          <w:smallCaps w:val="1"/>
          <w:sz w:val="18"/>
          <w:szCs w:val="18"/>
          <w:rtl w:val="0"/>
        </w:rPr>
        <w:t xml:space="preserve">TABLE I. selected studies</w:t>
      </w:r>
      <w:r w:rsidDel="00000000" w:rsidR="00000000" w:rsidRPr="00000000">
        <w:rPr>
          <w:rtl w:val="0"/>
        </w:rPr>
      </w:r>
    </w:p>
    <w:tbl>
      <w:tblPr>
        <w:tblStyle w:val="Table1"/>
        <w:tblW w:w="4715.000000000001"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05"/>
        <w:gridCol w:w="1545"/>
        <w:gridCol w:w="1545"/>
        <w:gridCol w:w="455.00000000000057"/>
        <w:gridCol w:w="765"/>
        <w:tblGridChange w:id="0">
          <w:tblGrid>
            <w:gridCol w:w="405"/>
            <w:gridCol w:w="1545"/>
            <w:gridCol w:w="1545"/>
            <w:gridCol w:w="455.00000000000057"/>
            <w:gridCol w:w="765"/>
          </w:tblGrid>
        </w:tblGridChange>
      </w:tblGrid>
      <w:tr>
        <w:trPr>
          <w:cantSplit w:val="0"/>
          <w:trHeight w:val="319.99999999999886"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3">
            <w:pPr>
              <w:spacing w:before="40" w:line="302" w:lineRule="auto"/>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4">
            <w:pPr>
              <w:spacing w:before="40" w:line="302" w:lineRule="auto"/>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Title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5">
            <w:pPr>
              <w:spacing w:before="40" w:line="302" w:lineRule="auto"/>
              <w:ind w:right="6.141732283464876"/>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Author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6">
            <w:pPr>
              <w:spacing w:before="40" w:line="302" w:lineRule="auto"/>
              <w:ind w:left="28.11023622047287" w:right="6.141732283464876" w:firstLine="0"/>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Year</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7">
            <w:pPr>
              <w:spacing w:before="40" w:line="302" w:lineRule="auto"/>
              <w:ind w:right="6.141732283464876"/>
              <w:rPr>
                <w:rFonts w:ascii="Times New Roman" w:cs="Times New Roman" w:eastAsia="Times New Roman" w:hAnsi="Times New Roman"/>
                <w:b w:val="1"/>
                <w:bCs w:val="1"/>
                <w:sz w:val="15"/>
                <w:szCs w:val="15"/>
                <w:highlight w:val="white"/>
              </w:rPr>
            </w:pPr>
            <w:r w:rsidDel="00000000" w:rsidR="00000000" w:rsidRPr="00000000">
              <w:rPr>
                <w:rFonts w:ascii="Times New Roman" w:cs="Times New Roman" w:eastAsia="Times New Roman" w:hAnsi="Times New Roman"/>
                <w:b w:val="1"/>
                <w:bCs w:val="1"/>
                <w:sz w:val="15"/>
                <w:szCs w:val="15"/>
                <w:highlight w:val="white"/>
                <w:rtl w:val="0"/>
              </w:rPr>
              <w:t xml:space="preserve">Source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8">
            <w:pPr>
              <w:spacing w:before="40" w:line="302" w:lineRule="auto"/>
              <w:jc w:val="both"/>
              <w:rPr>
                <w:rFonts w:ascii="Times New Roman" w:cs="Times New Roman" w:eastAsia="Times New Roman" w:hAnsi="Times New Roman"/>
                <w:sz w:val="12"/>
                <w:szCs w:val="12"/>
                <w:highlight w:val="white"/>
              </w:rPr>
            </w:pPr>
            <w:r w:rsidDel="00000000" w:rsidR="00000000" w:rsidRPr="00000000">
              <w:rPr>
                <w:rFonts w:ascii="Times New Roman" w:cs="Times New Roman" w:eastAsia="Times New Roman" w:hAnsi="Times New Roman"/>
                <w:sz w:val="16"/>
                <w:szCs w:val="16"/>
                <w:highlight w:val="white"/>
                <w:rtl w:val="0"/>
              </w:rPr>
              <w:t xml:space="preserve">PS1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9">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Experiences of integrating learning and engagement strategies (LESs) into software engineering courses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A">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Clarke P.J.; Thirunarayanan M.; Allala S.C.; Sotomayor J.P.; Ross M.S.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B">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2020</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4C">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SCOPUS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D">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E">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Artificial intelligence in business curriculum: The pedagogy and learning outcomes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F">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Xu J.J.; Babaian 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0">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2021</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1">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SCOPUS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2">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3">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Interdisciplinary Computing Education: An Introductory Programming and Data Science Course for Postdoctoral Researchers in the Biosciences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4">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 Barman; L. S. Beckman; Y. Chebaro</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5">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2022</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6">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IEEE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7">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8">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Preparing First-Year Engineering Students to Think About Code: A Guided Inquiry Approach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9">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B. Bettin; M. Jarvie-Eggart; K. S. Steelman; C. Wallace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A">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2022</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5B">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IEEE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C">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D">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Interdisciplinary CS1 Course for Non-Majors: The Case of Graduate Psychology Students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E">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K. Mike; O. Hazzan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5F">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2022</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0">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IEEE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1">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2">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Scaffolding Expertise: Evaluating Scaffolds for Block-Based Coding Among Experts and Novices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3">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Yifan Zhang and Teomara Rutherford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4">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2024</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5">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ACM</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6">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7">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 River of Tears Is a Valid Answer?”: Social Science Graduate Students’ Experiences Learning Programming for Research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8">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Alexis Tarter, Moyan Zhou, Svetlana Yarosh, and David DeLiema.</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9">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2025</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A">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ACM</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B">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C">
            <w:pPr>
              <w:spacing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Applying the Model of Interest Development to Understand Why Non-CS Majors Decide to Persist in or Leave Computing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D">
            <w:pPr>
              <w:spacing w:before="40"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Jinyoung Hur, Michael M. Kang, Junmee Park, and Kathryn Cunningham</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6E">
            <w:pPr>
              <w:spacing w:before="40" w:line="302" w:lineRule="auto"/>
              <w:ind w:left="28.11023622047287"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2025</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6F">
            <w:pPr>
              <w:spacing w:before="40" w:line="302" w:lineRule="auto"/>
              <w:ind w:right="-19.527559055118218"/>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ACM</w:t>
            </w:r>
          </w:p>
        </w:tc>
      </w:tr>
    </w:tbl>
    <w:p w:rsidR="00000000" w:rsidDel="00000000" w:rsidP="00000000" w:rsidRDefault="00000000" w:rsidRPr="00000000" w14:paraId="00000070">
      <w:pPr>
        <w:spacing w:after="120" w:line="302" w:lineRule="auto"/>
        <w:ind w:left="720" w:firstLine="0"/>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1">
      <w:pPr>
        <w:pStyle w:val="Heading1"/>
        <w:numPr>
          <w:ilvl w:val="0"/>
          <w:numId w:val="15"/>
        </w:numPr>
        <w:rPr>
          <w:smallCaps w:val="1"/>
          <w:highlight w:val="white"/>
        </w:rPr>
      </w:pPr>
      <w:bookmarkStart w:colFirst="0" w:colLast="0" w:name="_esthviiw4si1" w:id="7"/>
      <w:bookmarkEnd w:id="7"/>
      <w:r w:rsidDel="00000000" w:rsidR="00000000" w:rsidRPr="00000000">
        <w:rPr>
          <w:rtl w:val="0"/>
        </w:rPr>
        <w:t xml:space="preserve">Report and Discussions</w:t>
      </w:r>
      <w:r w:rsidDel="00000000" w:rsidR="00000000" w:rsidRPr="00000000">
        <w:rPr>
          <w:rtl w:val="0"/>
        </w:rPr>
      </w:r>
    </w:p>
    <w:p w:rsidR="00000000" w:rsidDel="00000000" w:rsidP="00000000" w:rsidRDefault="00000000" w:rsidRPr="00000000" w14:paraId="00000072">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From the 8 selected studies, the temporal trend of publications was analyzed, revealing a consistent interest in the topic between 2020 and 2025. Although the volume is distributed, a significant concentration is observed in 2022 (37.5%) and 2025 (25%). This trend reflects the growing necessity of integrating computational skills into non-IT graduate curricula, driven by the digital transformation across diverse research fields and the demand for data-driven methodologies in social and biological sciences.</w:t>
      </w:r>
    </w:p>
    <w:p w:rsidR="00000000" w:rsidDel="00000000" w:rsidP="00000000" w:rsidRDefault="00000000" w:rsidRPr="00000000" w14:paraId="00000073">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Regarding geographical distribution, the analysis shows that 87.5% of the studies involved contributions from institutions in the United States, covering regions such as Florida, Massachusetts, Texas, Michigan, Minnesota, and Illinois. Contributions from Israel and China were identified in 12.5% of the sample each. It is important to note that the total percentage exceeds 100% because one of the primary studies involves an international collaboration between Chinese and North American institutions.</w:t>
      </w:r>
    </w:p>
    <w:p w:rsidR="00000000" w:rsidDel="00000000" w:rsidP="00000000" w:rsidRDefault="00000000" w:rsidRPr="00000000" w14:paraId="00000074">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geographical concentration stems from a synergy of institutional and economic factors. It is primarily driven by established frameworks such as the 'CS for All' initiatives, alongside the broadening of interdisciplinary graduate curricula specifically designed for professional reconversion. This environment is further sustained by substantial funding for educational technology research and an increasing labor market demand for 'T-shaped' professionals—individuals who effectively bridge domain-specific expertise with technical proficiency. Ultimately, these findings underscore a concerted effort within advanced educational ecosystems to dismantle traditional entry barriers for non-computing backgrounds.</w:t>
      </w:r>
    </w:p>
    <w:p w:rsidR="00000000" w:rsidDel="00000000" w:rsidP="00000000" w:rsidRDefault="00000000" w:rsidRPr="00000000" w14:paraId="00000075">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Finally, the study types were classified as: Conference Papers (50%) and Journal/Research Articles (50%). This balanced distribution reflects a field that is simultaneously exploring new pedagogical interventions through rapid conference reports and consolidating theoretical frameworks through more extensive journal publications. The presence of high-impact research articles in the latter years suggests that the methodologies for teaching computing to non-specialists are maturing into a robust area of scientific investigation.</w:t>
      </w:r>
    </w:p>
    <w:p w:rsidR="00000000" w:rsidDel="00000000" w:rsidP="00000000" w:rsidRDefault="00000000" w:rsidRPr="00000000" w14:paraId="00000076">
      <w:pPr>
        <w:pStyle w:val="Heading2"/>
        <w:numPr>
          <w:ilvl w:val="0"/>
          <w:numId w:val="1"/>
        </w:numPr>
        <w:spacing w:before="200" w:lineRule="auto"/>
        <w:rPr>
          <w:rFonts w:ascii="Times New Roman" w:cs="Times New Roman" w:eastAsia="Times New Roman" w:hAnsi="Times New Roman"/>
          <w:i w:val="1"/>
          <w:iCs w:val="1"/>
          <w:sz w:val="20"/>
          <w:szCs w:val="20"/>
          <w:highlight w:val="white"/>
        </w:rPr>
      </w:pPr>
      <w:bookmarkStart w:colFirst="0" w:colLast="0" w:name="_bxa3rbe54rwn" w:id="8"/>
      <w:bookmarkEnd w:id="8"/>
      <w:r w:rsidDel="00000000" w:rsidR="00000000" w:rsidRPr="00000000">
        <w:rPr>
          <w:rtl w:val="0"/>
        </w:rPr>
        <w:t xml:space="preserve">Context of the Analyzed Studies in Relation to Students from Non-IT Backgrounds </w:t>
      </w:r>
    </w:p>
    <w:p w:rsidR="00000000" w:rsidDel="00000000" w:rsidP="00000000" w:rsidRDefault="00000000" w:rsidRPr="00000000" w14:paraId="00000077">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analysis of the selected studies reveals that introducing technical and programming skills to students outside the Information Technology (IT) field is a global and interdisciplinary concern. The mapped studies address a wide variety of academic and demographic settings, reflecting the recognition that computational thinking has become an essential skill in almost all disciplines. To answer this research question, the context of the interventions was consolidated into four main dimensions: (i) educational level, (ii) course area, (iii) sample/class size, and (iv) duration of the interventions. </w:t>
      </w:r>
    </w:p>
    <w:p w:rsidR="00000000" w:rsidDel="00000000" w:rsidP="00000000" w:rsidRDefault="00000000" w:rsidRPr="00000000" w14:paraId="00000078">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 Educational Level:</w:t>
      </w:r>
      <w:r w:rsidDel="00000000" w:rsidR="00000000" w:rsidRPr="00000000">
        <w:rPr>
          <w:rFonts w:ascii="Times New Roman" w:cs="Times New Roman" w:eastAsia="Times New Roman" w:hAnsi="Times New Roman"/>
          <w:sz w:val="20"/>
          <w:szCs w:val="20"/>
          <w:highlight w:val="white"/>
          <w:rtl w:val="0"/>
        </w:rPr>
        <w:t xml:space="preserve"> The studies are evenly divided between undergraduate education and initiatives aimed at graduate education and continuous training:  </w:t>
      </w:r>
    </w:p>
    <w:p w:rsidR="00000000" w:rsidDel="00000000" w:rsidP="00000000" w:rsidRDefault="00000000" w:rsidRPr="00000000" w14:paraId="00000079">
      <w:pPr>
        <w:numPr>
          <w:ilvl w:val="0"/>
          <w:numId w:val="3"/>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Undergraduate:</w:t>
      </w:r>
      <w:r w:rsidDel="00000000" w:rsidR="00000000" w:rsidRPr="00000000">
        <w:rPr>
          <w:rFonts w:ascii="Times New Roman" w:cs="Times New Roman" w:eastAsia="Times New Roman" w:hAnsi="Times New Roman"/>
          <w:sz w:val="20"/>
          <w:szCs w:val="20"/>
          <w:highlight w:val="white"/>
          <w:rtl w:val="0"/>
        </w:rPr>
        <w:t xml:space="preserve"> Interventions at this level range from first-year college students, where programming is introduced as a foundational skill (PS4), to upper-division students who have their first formal contact with computational thinking later in their curricula (PS6, PS8).</w:t>
      </w:r>
    </w:p>
    <w:p w:rsidR="00000000" w:rsidDel="00000000" w:rsidP="00000000" w:rsidRDefault="00000000" w:rsidRPr="00000000" w14:paraId="0000007A">
      <w:pPr>
        <w:numPr>
          <w:ilvl w:val="0"/>
          <w:numId w:val="3"/>
        </w:numPr>
        <w:shd w:fill="ffffff" w:val="clear"/>
        <w:spacing w:after="18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Graduate (Stricto Sensu) and Postdoctoral:</w:t>
      </w:r>
      <w:r w:rsidDel="00000000" w:rsidR="00000000" w:rsidRPr="00000000">
        <w:rPr>
          <w:rFonts w:ascii="Times New Roman" w:cs="Times New Roman" w:eastAsia="Times New Roman" w:hAnsi="Times New Roman"/>
          <w:sz w:val="20"/>
          <w:szCs w:val="20"/>
          <w:highlight w:val="white"/>
          <w:rtl w:val="0"/>
        </w:rPr>
        <w:t xml:space="preserve"> There is a strong focus on teaching advanced technical skills (such as Data Science and Artificial Intelligence) to master's and doctoral students who need these tools to conduct their own academic research (PS5, PS7), as well as to students in MBAs and professional master's programs (PS2). One of the studies also specifically focuses on Postdoctoral Researchers (PDRs), a mature audience that requires continuing education but faces severe time constraints (PS3). </w:t>
      </w:r>
    </w:p>
    <w:p w:rsidR="00000000" w:rsidDel="00000000" w:rsidP="00000000" w:rsidRDefault="00000000" w:rsidRPr="00000000" w14:paraId="0000007B">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 Course Area (Domain of Origin):</w:t>
      </w:r>
      <w:r w:rsidDel="00000000" w:rsidR="00000000" w:rsidRPr="00000000">
        <w:rPr>
          <w:rFonts w:ascii="Times New Roman" w:cs="Times New Roman" w:eastAsia="Times New Roman" w:hAnsi="Times New Roman"/>
          <w:sz w:val="20"/>
          <w:szCs w:val="20"/>
          <w:highlight w:val="white"/>
          <w:rtl w:val="0"/>
        </w:rPr>
        <w:t xml:space="preserve"> The diversity of the students' areas of origin demonstrates the universality of the demand for computing skills: </w:t>
      </w:r>
    </w:p>
    <w:p w:rsidR="00000000" w:rsidDel="00000000" w:rsidP="00000000" w:rsidRDefault="00000000" w:rsidRPr="00000000" w14:paraId="0000007C">
      <w:pPr>
        <w:numPr>
          <w:ilvl w:val="0"/>
          <w:numId w:val="2"/>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Humanities, Social Sciences, and Arts:</w:t>
      </w:r>
      <w:r w:rsidDel="00000000" w:rsidR="00000000" w:rsidRPr="00000000">
        <w:rPr>
          <w:rFonts w:ascii="Times New Roman" w:cs="Times New Roman" w:eastAsia="Times New Roman" w:hAnsi="Times New Roman"/>
          <w:sz w:val="20"/>
          <w:szCs w:val="20"/>
          <w:highlight w:val="white"/>
          <w:rtl w:val="0"/>
        </w:rPr>
        <w:t xml:space="preserve"> Several studies focus on Psychology students (both cognitive and social) (PS5, PS6, PS7), as well as Education, Anthropology, Humanities, and Music (PS6, PS8).</w:t>
      </w:r>
    </w:p>
    <w:p w:rsidR="00000000" w:rsidDel="00000000" w:rsidP="00000000" w:rsidRDefault="00000000" w:rsidRPr="00000000" w14:paraId="0000007D">
      <w:pPr>
        <w:numPr>
          <w:ilvl w:val="0"/>
          <w:numId w:val="2"/>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Business and Management:</w:t>
      </w:r>
      <w:r w:rsidDel="00000000" w:rsidR="00000000" w:rsidRPr="00000000">
        <w:rPr>
          <w:rFonts w:ascii="Times New Roman" w:cs="Times New Roman" w:eastAsia="Times New Roman" w:hAnsi="Times New Roman"/>
          <w:sz w:val="20"/>
          <w:szCs w:val="20"/>
          <w:highlight w:val="white"/>
          <w:rtl w:val="0"/>
        </w:rPr>
        <w:t xml:space="preserve"> Master's students in areas such as Business Administration (MBA), Accounting, Economics, and Finance, who seek to apply AI techniques and data analysis in the corporate world (PS2, PS8).</w:t>
      </w:r>
    </w:p>
    <w:p w:rsidR="00000000" w:rsidDel="00000000" w:rsidP="00000000" w:rsidRDefault="00000000" w:rsidRPr="00000000" w14:paraId="0000007E">
      <w:pPr>
        <w:numPr>
          <w:ilvl w:val="0"/>
          <w:numId w:val="2"/>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Non-Computing Engineering and Exact Sciences:</w:t>
      </w:r>
      <w:r w:rsidDel="00000000" w:rsidR="00000000" w:rsidRPr="00000000">
        <w:rPr>
          <w:rFonts w:ascii="Times New Roman" w:cs="Times New Roman" w:eastAsia="Times New Roman" w:hAnsi="Times New Roman"/>
          <w:sz w:val="20"/>
          <w:szCs w:val="20"/>
          <w:highlight w:val="white"/>
          <w:rtl w:val="0"/>
        </w:rPr>
        <w:t xml:space="preserve"> First-year students in general engineering (Civil, Mechanical, Chemical) and students in Statistics, Mathematics, and Physics, for whom programming is taught as a tool for modeling and problem-solving (PS4, PS8).</w:t>
      </w:r>
    </w:p>
    <w:p w:rsidR="00000000" w:rsidDel="00000000" w:rsidP="00000000" w:rsidRDefault="00000000" w:rsidRPr="00000000" w14:paraId="0000007F">
      <w:pPr>
        <w:numPr>
          <w:ilvl w:val="0"/>
          <w:numId w:val="2"/>
        </w:numPr>
        <w:shd w:fill="ffffff" w:val="clear"/>
        <w:spacing w:after="18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Biosciences and Healthcare:</w:t>
      </w:r>
      <w:r w:rsidDel="00000000" w:rsidR="00000000" w:rsidRPr="00000000">
        <w:rPr>
          <w:rFonts w:ascii="Times New Roman" w:cs="Times New Roman" w:eastAsia="Times New Roman" w:hAnsi="Times New Roman"/>
          <w:sz w:val="20"/>
          <w:szCs w:val="20"/>
          <w:highlight w:val="white"/>
          <w:rtl w:val="0"/>
        </w:rPr>
        <w:t xml:space="preserve"> Researchers in biology and medicine who deal with large volumes of data (genomics, proteomics) and require automation to efficiently analyze laboratory results (PS3).</w:t>
      </w:r>
    </w:p>
    <w:p w:rsidR="00000000" w:rsidDel="00000000" w:rsidP="00000000" w:rsidRDefault="00000000" w:rsidRPr="00000000" w14:paraId="00000080">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 Sample/Class Size:</w:t>
      </w:r>
      <w:r w:rsidDel="00000000" w:rsidR="00000000" w:rsidRPr="00000000">
        <w:rPr>
          <w:rFonts w:ascii="Times New Roman" w:cs="Times New Roman" w:eastAsia="Times New Roman" w:hAnsi="Times New Roman"/>
          <w:sz w:val="20"/>
          <w:szCs w:val="20"/>
          <w:highlight w:val="white"/>
          <w:rtl w:val="0"/>
        </w:rPr>
        <w:t xml:space="preserve"> The scale of the classes and the size of the analyzed samples vary according to the methodological nature of each study (qualitative vs. quantitative): </w:t>
      </w:r>
    </w:p>
    <w:p w:rsidR="00000000" w:rsidDel="00000000" w:rsidP="00000000" w:rsidRDefault="00000000" w:rsidRPr="00000000" w14:paraId="00000081">
      <w:pPr>
        <w:numPr>
          <w:ilvl w:val="0"/>
          <w:numId w:val="2"/>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Small to Medium Samples (qualitative/practical focus):</w:t>
      </w:r>
      <w:r w:rsidDel="00000000" w:rsidR="00000000" w:rsidRPr="00000000">
        <w:rPr>
          <w:rFonts w:ascii="Times New Roman" w:cs="Times New Roman" w:eastAsia="Times New Roman" w:hAnsi="Times New Roman"/>
          <w:sz w:val="20"/>
          <w:szCs w:val="20"/>
          <w:highlight w:val="white"/>
          <w:rtl w:val="0"/>
        </w:rPr>
        <w:t xml:space="preserve"> Some studies monitor smaller classes or conduct in-depth interviews to understand students' barriers and motivations. The reported sizes include classes of 16 students (PS2), 32 students (PS5), or interview samples ranging from 17 to 19 students (PS7, PS8).</w:t>
      </w:r>
    </w:p>
    <w:p w:rsidR="00000000" w:rsidDel="00000000" w:rsidP="00000000" w:rsidRDefault="00000000" w:rsidRPr="00000000" w14:paraId="00000082">
      <w:pPr>
        <w:numPr>
          <w:ilvl w:val="0"/>
          <w:numId w:val="2"/>
        </w:numPr>
        <w:shd w:fill="ffffff" w:val="clear"/>
        <w:spacing w:after="18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Medium to Large Samples (quantitative/experimental focus):</w:t>
      </w:r>
      <w:r w:rsidDel="00000000" w:rsidR="00000000" w:rsidRPr="00000000">
        <w:rPr>
          <w:rFonts w:ascii="Times New Roman" w:cs="Times New Roman" w:eastAsia="Times New Roman" w:hAnsi="Times New Roman"/>
          <w:sz w:val="20"/>
          <w:szCs w:val="20"/>
          <w:highlight w:val="white"/>
          <w:rtl w:val="0"/>
        </w:rPr>
        <w:t xml:space="preserve"> In impact or continuous adoption evaluations, the studies report more robust numbers, such as 55 postdocs surveyed over three semesters (PS3), 115 novice students (from social sciences) compared to experts in a controlled experiment (PS6), and experimental analyses covering up to 233 engineering students participating in the study (PS4).</w:t>
      </w:r>
    </w:p>
    <w:p w:rsidR="00000000" w:rsidDel="00000000" w:rsidP="00000000" w:rsidRDefault="00000000" w:rsidRPr="00000000" w14:paraId="00000083">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 Duration of Interventions or Subjects:</w:t>
      </w:r>
      <w:r w:rsidDel="00000000" w:rsidR="00000000" w:rsidRPr="00000000">
        <w:rPr>
          <w:rFonts w:ascii="Times New Roman" w:cs="Times New Roman" w:eastAsia="Times New Roman" w:hAnsi="Times New Roman"/>
          <w:sz w:val="20"/>
          <w:szCs w:val="20"/>
          <w:highlight w:val="white"/>
          <w:rtl w:val="0"/>
        </w:rPr>
        <w:t xml:space="preserve"> The temporal extent of the students' contact with technical instruction adapts to their academic goals and time constraints: </w:t>
      </w:r>
    </w:p>
    <w:p w:rsidR="00000000" w:rsidDel="00000000" w:rsidP="00000000" w:rsidRDefault="00000000" w:rsidRPr="00000000" w14:paraId="00000084">
      <w:pPr>
        <w:numPr>
          <w:ilvl w:val="0"/>
          <w:numId w:val="2"/>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Formal Semester-Long Courses:</w:t>
      </w:r>
      <w:r w:rsidDel="00000000" w:rsidR="00000000" w:rsidRPr="00000000">
        <w:rPr>
          <w:rFonts w:ascii="Times New Roman" w:cs="Times New Roman" w:eastAsia="Times New Roman" w:hAnsi="Times New Roman"/>
          <w:sz w:val="20"/>
          <w:szCs w:val="20"/>
          <w:highlight w:val="white"/>
          <w:rtl w:val="0"/>
        </w:rPr>
        <w:t xml:space="preserve"> Most interventions occur in the format of a full course over a traditional academic semester (usually 15 weeks). This includes 52-hour courses for graduate students in Psychology (PS5) and weekly classes of almost 3 hours in business schools (PS2).</w:t>
      </w:r>
    </w:p>
    <w:p w:rsidR="00000000" w:rsidDel="00000000" w:rsidP="00000000" w:rsidRDefault="00000000" w:rsidRPr="00000000" w14:paraId="00000085">
      <w:pPr>
        <w:numPr>
          <w:ilvl w:val="0"/>
          <w:numId w:val="2"/>
        </w:numPr>
        <w:shd w:fill="ffffff" w:val="clear"/>
        <w:spacing w:after="0" w:afterAutospacing="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Continuous Programs:</w:t>
      </w:r>
      <w:r w:rsidDel="00000000" w:rsidR="00000000" w:rsidRPr="00000000">
        <w:rPr>
          <w:rFonts w:ascii="Times New Roman" w:cs="Times New Roman" w:eastAsia="Times New Roman" w:hAnsi="Times New Roman"/>
          <w:sz w:val="20"/>
          <w:szCs w:val="20"/>
          <w:highlight w:val="white"/>
          <w:rtl w:val="0"/>
        </w:rPr>
        <w:t xml:space="preserve"> For postdoctoral researchers, there is the offering of flexible certification programs spanning several semesters, requiring only 1 hour of weekly class time to circumvent the researchers' scarcity of time (PS3).</w:t>
      </w:r>
    </w:p>
    <w:p w:rsidR="00000000" w:rsidDel="00000000" w:rsidP="00000000" w:rsidRDefault="00000000" w:rsidRPr="00000000" w14:paraId="00000086">
      <w:pPr>
        <w:numPr>
          <w:ilvl w:val="0"/>
          <w:numId w:val="2"/>
        </w:numPr>
        <w:shd w:fill="ffffff" w:val="clear"/>
        <w:spacing w:after="180" w:line="302" w:lineRule="auto"/>
        <w:ind w:left="720" w:hanging="360"/>
        <w:jc w:val="both"/>
        <w:rPr>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Short Modules and One-off Experiments:</w:t>
      </w:r>
      <w:r w:rsidDel="00000000" w:rsidR="00000000" w:rsidRPr="00000000">
        <w:rPr>
          <w:rFonts w:ascii="Times New Roman" w:cs="Times New Roman" w:eastAsia="Times New Roman" w:hAnsi="Times New Roman"/>
          <w:sz w:val="20"/>
          <w:szCs w:val="20"/>
          <w:highlight w:val="white"/>
          <w:rtl w:val="0"/>
        </w:rPr>
        <w:t xml:space="preserve"> In some cases, the methodologies are applied as sub-modules (lasting 2 to 3 weeks) within an introductory engineering course (PS4), through short-duration workshops for researchers (PS7), or even in strictly controlled experimental sessions with a maximum duration of 1 hour in a laboratory setting (PS6).</w:t>
      </w:r>
    </w:p>
    <w:p w:rsidR="00000000" w:rsidDel="00000000" w:rsidP="00000000" w:rsidRDefault="00000000" w:rsidRPr="00000000" w14:paraId="00000087">
      <w:pPr>
        <w:pStyle w:val="Heading2"/>
        <w:numPr>
          <w:ilvl w:val="0"/>
          <w:numId w:val="1"/>
        </w:numPr>
        <w:spacing w:before="200" w:lineRule="auto"/>
        <w:rPr>
          <w:rFonts w:ascii="Times New Roman" w:cs="Times New Roman" w:eastAsia="Times New Roman" w:hAnsi="Times New Roman"/>
          <w:i w:val="1"/>
          <w:iCs w:val="1"/>
          <w:sz w:val="20"/>
          <w:szCs w:val="20"/>
          <w:highlight w:val="white"/>
        </w:rPr>
      </w:pPr>
      <w:bookmarkStart w:colFirst="0" w:colLast="0" w:name="_9m6j2g3iqdq0" w:id="9"/>
      <w:bookmarkEnd w:id="9"/>
      <w:r w:rsidDel="00000000" w:rsidR="00000000" w:rsidRPr="00000000">
        <w:rPr>
          <w:rtl w:val="0"/>
        </w:rPr>
        <w:t xml:space="preserve">Technical Difficulties Faced by Students</w:t>
      </w:r>
    </w:p>
    <w:p w:rsidR="00000000" w:rsidDel="00000000" w:rsidP="00000000" w:rsidRDefault="00000000" w:rsidRPr="00000000" w14:paraId="00000088">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results obtained from the analysis of the selected studies reveal that non-CS majors face multifaceted technical barriers when learning computing. These difficulties go far beyond simply typing code, involving the assimilation of new mental models, mathematical gaps, and handling software ecosystems. The main technical difficulties identified in the literature are categorized below:</w:t>
      </w:r>
    </w:p>
    <w:p w:rsidR="00000000" w:rsidDel="00000000" w:rsidP="00000000" w:rsidRDefault="00000000" w:rsidRPr="00000000" w14:paraId="00000089">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Syntax and Lexical Elements</w:t>
      </w:r>
      <w:r w:rsidDel="00000000" w:rsidR="00000000" w:rsidRPr="00000000">
        <w:rPr>
          <w:rFonts w:ascii="Times New Roman" w:cs="Times New Roman" w:eastAsia="Times New Roman" w:hAnsi="Times New Roman"/>
          <w:sz w:val="20"/>
          <w:szCs w:val="20"/>
          <w:highlight w:val="white"/>
          <w:rtl w:val="0"/>
        </w:rPr>
        <w:t xml:space="preserve">: Learning the grammar and low-level elements of programming languages represents a direct and initial obstacle. Students often report that "when it comes to R, again the interpretation of those codings. It's so complicated" </w:t>
      </w:r>
      <w:r w:rsidDel="00000000" w:rsidR="00000000" w:rsidRPr="00000000">
        <w:rPr>
          <w:rFonts w:ascii="Times New Roman" w:cs="Times New Roman" w:eastAsia="Times New Roman" w:hAnsi="Times New Roman"/>
          <w:sz w:val="20"/>
          <w:szCs w:val="20"/>
          <w:highlight w:val="white"/>
          <w:rtl w:val="0"/>
        </w:rPr>
        <w:t xml:space="preserve">(PS7)</w:t>
      </w:r>
      <w:r w:rsidDel="00000000" w:rsidR="00000000" w:rsidRPr="00000000">
        <w:rPr>
          <w:rFonts w:ascii="Times New Roman" w:cs="Times New Roman" w:eastAsia="Times New Roman" w:hAnsi="Times New Roman"/>
          <w:sz w:val="20"/>
          <w:szCs w:val="20"/>
          <w:highlight w:val="white"/>
          <w:rtl w:val="0"/>
        </w:rPr>
        <w:t xml:space="preserve">. Furthermore, when exposed to different programming environments, "differences in lexical elements caused confusion" (PS4). As a result, "rather than learning the basic concepts of the field, their energies are devoted to learning syntax" (PS4). Interestingly, studies also found that non-CS majors "do not value learning of low-level programming knowledge, such as syntax, describing such content as irrelevant to their more conceptual and application-focused learning goals" (PS8).</w:t>
      </w:r>
    </w:p>
    <w:p w:rsidR="00000000" w:rsidDel="00000000" w:rsidP="00000000" w:rsidRDefault="00000000" w:rsidRPr="00000000" w14:paraId="0000008A">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Logical Structure and Dynamic Flow</w:t>
      </w:r>
      <w:r w:rsidDel="00000000" w:rsidR="00000000" w:rsidRPr="00000000">
        <w:rPr>
          <w:rFonts w:ascii="Times New Roman" w:cs="Times New Roman" w:eastAsia="Times New Roman" w:hAnsi="Times New Roman"/>
          <w:sz w:val="20"/>
          <w:szCs w:val="20"/>
          <w:highlight w:val="white"/>
          <w:rtl w:val="0"/>
        </w:rPr>
        <w:t xml:space="preserve">: Confusion about "the way programs are constructed" is a central challenge for novices (PS4). The literature highlights that students struggle heavily with "Understanding Static Program Structure" (such as interpreting code logic and order) and "Understanding Dynamic Program Flow" (like tracing variables through loops and creating flow charts) (PS4). Because they lack these foundational mental models, "rather than learning real problem-solving skills, they resort to trial-and-error" (PS4).</w:t>
      </w:r>
    </w:p>
    <w:p w:rsidR="00000000" w:rsidDel="00000000" w:rsidP="00000000" w:rsidRDefault="00000000" w:rsidRPr="00000000" w14:paraId="0000008B">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Debugging and Code Fragility</w:t>
      </w:r>
      <w:r w:rsidDel="00000000" w:rsidR="00000000" w:rsidRPr="00000000">
        <w:rPr>
          <w:rFonts w:ascii="Times New Roman" w:cs="Times New Roman" w:eastAsia="Times New Roman" w:hAnsi="Times New Roman"/>
          <w:sz w:val="20"/>
          <w:szCs w:val="20"/>
          <w:highlight w:val="white"/>
          <w:rtl w:val="0"/>
        </w:rPr>
        <w:t xml:space="preserve">: The inability to resolve execution errors generates high frustration, paralyzing the students' independent research progress. Students report that "Sometimes, even though I write the same data as my professor in R, I receive errors. I cannot proceed from that... I [am] actually stuck at that one point" (PS7). For novice researchers, the software ecosystem can seem highly fragile, and they face challenges with "depending on code that is so frail if neglected" (PS7). They also realize that "the worst [challenge] is when a resource or a library gets abandoned" (PS7). Additionally, there is technical insecurity regarding the production of unreliable scripts, with students expressing frustration when their code is "very, very gross and hacky" (PS7).</w:t>
      </w:r>
    </w:p>
    <w:p w:rsidR="00000000" w:rsidDel="00000000" w:rsidP="00000000" w:rsidRDefault="00000000" w:rsidRPr="00000000" w14:paraId="0000008C">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Mathematical Foundation and Computational Thinking</w:t>
      </w:r>
      <w:r w:rsidDel="00000000" w:rsidR="00000000" w:rsidRPr="00000000">
        <w:rPr>
          <w:rFonts w:ascii="Times New Roman" w:cs="Times New Roman" w:eastAsia="Times New Roman" w:hAnsi="Times New Roman"/>
          <w:sz w:val="20"/>
          <w:szCs w:val="20"/>
          <w:highlight w:val="white"/>
          <w:rtl w:val="0"/>
        </w:rPr>
        <w:t xml:space="preserve">: For students entering advanced topics like Data Science or AI, the baseline requirements can act as an intimidation factor, since these fields "require extensive knowledge and skills in mathematics, statistics, and computer science" (PS5). Beyond mathematics, there is the intrinsic difficulty of applying computational thinking. Translating domain problems into logical steps—such as "convert[ing] engineering problems into pseudo-code"—is "a challenging task that requires analytical thinking and creativity" (PS4). Unfortunately, "most courses in computing education... focus solely on bioinformatics without emphasis on 'computational thinking" (PS5), leaving a gap in foundational problem-solving skills for researchers from other disciplines.</w:t>
      </w:r>
    </w:p>
    <w:p w:rsidR="00000000" w:rsidDel="00000000" w:rsidP="00000000" w:rsidRDefault="00000000" w:rsidRPr="00000000" w14:paraId="0000008D">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summary, these categories demonstrate that teaching programming to graduate students from non-IT backgrounds requires much more than simply presenting a language's syntax. Success depends on the active development of computational thinking, demystifying the mathematical foundations, and providing rigorous support for debugging and understanding the static and dynamic structures of code.</w:t>
      </w:r>
    </w:p>
    <w:p w:rsidR="00000000" w:rsidDel="00000000" w:rsidP="00000000" w:rsidRDefault="00000000" w:rsidRPr="00000000" w14:paraId="0000008E">
      <w:pPr>
        <w:shd w:fill="ffffff" w:val="clear"/>
        <w:spacing w:after="120" w:line="302"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2981325" cy="1841500"/>
            <wp:effectExtent b="0" l="0" r="0" t="0"/>
            <wp:docPr descr="Gráfico" id="2" name="image2.png"/>
            <a:graphic>
              <a:graphicData uri="http://schemas.openxmlformats.org/drawingml/2006/picture">
                <pic:pic>
                  <pic:nvPicPr>
                    <pic:cNvPr descr="Gráfico" id="0" name="image2.png"/>
                    <pic:cNvPicPr preferRelativeResize="0"/>
                  </pic:nvPicPr>
                  <pic:blipFill>
                    <a:blip r:embed="rId11"/>
                    <a:srcRect b="0" l="0" r="0" t="0"/>
                    <a:stretch>
                      <a:fillRect/>
                    </a:stretch>
                  </pic:blipFill>
                  <pic:spPr>
                    <a:xfrm>
                      <a:off x="0" y="0"/>
                      <a:ext cx="29813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line="302"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1. Number of articles that address the topic </w:t>
      </w:r>
      <w:r w:rsidDel="00000000" w:rsidR="00000000" w:rsidRPr="00000000">
        <w:rPr>
          <w:rtl w:val="0"/>
        </w:rPr>
      </w:r>
    </w:p>
    <w:p w:rsidR="00000000" w:rsidDel="00000000" w:rsidP="00000000" w:rsidRDefault="00000000" w:rsidRPr="00000000" w14:paraId="00000090">
      <w:pPr>
        <w:pStyle w:val="Heading2"/>
        <w:numPr>
          <w:ilvl w:val="0"/>
          <w:numId w:val="1"/>
        </w:numPr>
        <w:rPr>
          <w:rFonts w:ascii="Times New Roman" w:cs="Times New Roman" w:eastAsia="Times New Roman" w:hAnsi="Times New Roman"/>
          <w:i w:val="1"/>
          <w:iCs w:val="1"/>
          <w:sz w:val="20"/>
          <w:szCs w:val="20"/>
          <w:highlight w:val="white"/>
        </w:rPr>
      </w:pPr>
      <w:bookmarkStart w:colFirst="0" w:colLast="0" w:name="_a2dt4dg34py3" w:id="10"/>
      <w:bookmarkEnd w:id="10"/>
      <w:r w:rsidDel="00000000" w:rsidR="00000000" w:rsidRPr="00000000">
        <w:rPr>
          <w:rtl w:val="0"/>
        </w:rPr>
        <w:t xml:space="preserve">Methods and Approaches for Developing Technical Skills </w:t>
      </w:r>
    </w:p>
    <w:p w:rsidR="00000000" w:rsidDel="00000000" w:rsidP="00000000" w:rsidRDefault="00000000" w:rsidRPr="00000000" w14:paraId="00000091">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analysis of the selected studies revealed a diverse set of educational methods and approaches used to develop technical skills in students from non-IT backgrounds. Generally, the literature demonstrates a transition from purely expository teaching models to strategies that require active student participation, aiming to reduce entry barriers and promote greater practical engagement. Based on the data extraction, the main identified methods were consolidated into the following thematic categories:</w:t>
      </w:r>
    </w:p>
    <w:p w:rsidR="00000000" w:rsidDel="00000000" w:rsidP="00000000" w:rsidRDefault="00000000" w:rsidRPr="00000000" w14:paraId="00000092">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Active, Collaborative, and Independent Learning:</w:t>
      </w:r>
      <w:r w:rsidDel="00000000" w:rsidR="00000000" w:rsidRPr="00000000">
        <w:rPr>
          <w:rFonts w:ascii="Times New Roman" w:cs="Times New Roman" w:eastAsia="Times New Roman" w:hAnsi="Times New Roman"/>
          <w:sz w:val="20"/>
          <w:szCs w:val="20"/>
          <w:highlight w:val="white"/>
          <w:rtl w:val="0"/>
        </w:rPr>
        <w:t xml:space="preserve"> A predominant approach is the adoption of strategies that require active participation and cooperation among students to solve real-world problems within their domain of study. Methods such as experiential learning, team-based learning, pair programming, and think-pair-share dynamics are frequently employed to stimulate computational thinking (PS3). The integration of learning and engagement strategies, guided by models like LESIM, also emphasizes social interactions and gamification to foster student agency over traditional lectures (PS1). Furthermore, the relevance of collaborative and independent learning is highlighted, supported by informal networks, self-study, and community knowledge. These are crucial and widely used approaches by students and researchers seeking technical proficiency outside formal CS (Computer Science) curricula (PS7).</w:t>
      </w:r>
    </w:p>
    <w:p w:rsidR="00000000" w:rsidDel="00000000" w:rsidP="00000000" w:rsidRDefault="00000000" w:rsidRPr="00000000" w14:paraId="00000093">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Project-Based Learning, Problem-Based Learning, and Applied Instruction:</w:t>
      </w:r>
      <w:r w:rsidDel="00000000" w:rsidR="00000000" w:rsidRPr="00000000">
        <w:rPr>
          <w:rFonts w:ascii="Times New Roman" w:cs="Times New Roman" w:eastAsia="Times New Roman" w:hAnsi="Times New Roman"/>
          <w:sz w:val="20"/>
          <w:szCs w:val="20"/>
          <w:highlight w:val="white"/>
          <w:rtl w:val="0"/>
        </w:rPr>
        <w:t xml:space="preserve"> To connect technical theory to practice, the use of real-world projects and problems is widely adopted. Interdisciplinary approaches often involve collecting and using real data from the students' own research (such as psychology experiments and web scraping), frequently supported by a flipped classroom format to optimize synchronous learning and task resolution guidance (PS5). Applied technical instruction based on problems combines traditional theoretical classes with case studies, in-class exercises, and large practical final projects (term projects), requiring students to directly implement complex algorithms, such as neural networks and deep learning, aimed at business applications (PS2).</w:t>
      </w:r>
    </w:p>
    <w:p w:rsidR="00000000" w:rsidDel="00000000" w:rsidP="00000000" w:rsidRDefault="00000000" w:rsidRPr="00000000" w14:paraId="00000094">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Cognitive Scaffolding and Block-Based Programming:</w:t>
      </w:r>
      <w:r w:rsidDel="00000000" w:rsidR="00000000" w:rsidRPr="00000000">
        <w:rPr>
          <w:rFonts w:ascii="Times New Roman" w:cs="Times New Roman" w:eastAsia="Times New Roman" w:hAnsi="Times New Roman"/>
          <w:sz w:val="20"/>
          <w:szCs w:val="20"/>
          <w:highlight w:val="white"/>
          <w:rtl w:val="0"/>
        </w:rPr>
        <w:t xml:space="preserve"> To support novices in overcoming initial coding difficulties, the use of instructional scaffolds and block-based languages stands out as a central approach. Visual and block-based tools (such as Snap!) and contextualization strategies are designed to increase the engagement of non-technical students, focusing teaching on creative logic and problem structure rather than overwhelming them with syntax errors (PS8). Game-based learning platforms, such as Fox and Field, utilize structured cognitive supports focused on code efficiency or visual markings of critical features, aiming to induce inexperienced students to emulate problem-solving behaviors typically observed in experts (PS6).</w:t>
      </w:r>
    </w:p>
    <w:p w:rsidR="00000000" w:rsidDel="00000000" w:rsidP="00000000" w:rsidRDefault="00000000" w:rsidRPr="00000000" w14:paraId="00000095">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Guided Inquiry and Meta-cognition:</w:t>
      </w:r>
      <w:r w:rsidDel="00000000" w:rsidR="00000000" w:rsidRPr="00000000">
        <w:rPr>
          <w:rFonts w:ascii="Times New Roman" w:cs="Times New Roman" w:eastAsia="Times New Roman" w:hAnsi="Times New Roman"/>
          <w:sz w:val="20"/>
          <w:szCs w:val="20"/>
          <w:highlight w:val="white"/>
          <w:rtl w:val="0"/>
        </w:rPr>
        <w:t xml:space="preserve"> Some interventions focus heavily on the metacognitive ability to read, interpret, and reflect on programming logic. Structured strategies, inspired by the POGIL (Process-Oriented Guided Inquiry Learning) model, utilize guided inquiry questions, organized algorithmic worksheets, continuous code reflection practices, and cross-language commenting (PS4). Such methods develop essential analytical skills, helping novice students in engineering or related fields to think deeply and structurally about the construction and the logical and static flows of the programs they build (PS4).</w:t>
      </w:r>
    </w:p>
    <w:p w:rsidR="00000000" w:rsidDel="00000000" w:rsidP="00000000" w:rsidRDefault="00000000" w:rsidRPr="00000000" w14:paraId="00000096">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Interdisciplinary Curricular Design and Barrier Reduction:</w:t>
      </w:r>
      <w:r w:rsidDel="00000000" w:rsidR="00000000" w:rsidRPr="00000000">
        <w:rPr>
          <w:rFonts w:ascii="Times New Roman" w:cs="Times New Roman" w:eastAsia="Times New Roman" w:hAnsi="Times New Roman"/>
          <w:sz w:val="20"/>
          <w:szCs w:val="20"/>
          <w:highlight w:val="white"/>
          <w:rtl w:val="0"/>
        </w:rPr>
        <w:t xml:space="preserve"> From a structural and administrative standpoint, curricular design strongly benefits from interdisciplinary integration, creating courses modeled for the specific needs of researchers from other areas and anchored in the direct contextualization of their original fields (PS3, PS5). Another recurring pillar to assist students includes offering agile workshops focused on specific tools, allied with a strong support ecosystem, such as peer connections and mentoring guided by the career interests of non-CS students (PS7, PS8).</w:t>
      </w:r>
    </w:p>
    <w:p w:rsidR="00000000" w:rsidDel="00000000" w:rsidP="00000000" w:rsidRDefault="00000000" w:rsidRPr="00000000" w14:paraId="00000097">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summary, the evidence indicates that the development of technical skills in these students does not occur in isolation through rigorous IT teaching, but rather through a multifaceted combination of </w:t>
      </w:r>
      <w:r w:rsidDel="00000000" w:rsidR="00000000" w:rsidRPr="00000000">
        <w:rPr>
          <w:rFonts w:ascii="Times New Roman" w:cs="Times New Roman" w:eastAsia="Times New Roman" w:hAnsi="Times New Roman"/>
          <w:b w:val="1"/>
          <w:bCs w:val="1"/>
          <w:sz w:val="20"/>
          <w:szCs w:val="20"/>
          <w:highlight w:val="white"/>
          <w:rtl w:val="0"/>
        </w:rPr>
        <w:t xml:space="preserve">graduated cognitive support and active methodologies</w:t>
      </w:r>
      <w:r w:rsidDel="00000000" w:rsidR="00000000" w:rsidRPr="00000000">
        <w:rPr>
          <w:rFonts w:ascii="Times New Roman" w:cs="Times New Roman" w:eastAsia="Times New Roman" w:hAnsi="Times New Roman"/>
          <w:sz w:val="20"/>
          <w:szCs w:val="20"/>
          <w:highlight w:val="white"/>
          <w:rtl w:val="0"/>
        </w:rPr>
        <w:t xml:space="preserve"> (PS1, PS3, PS4, PS6), </w:t>
      </w:r>
      <w:r w:rsidDel="00000000" w:rsidR="00000000" w:rsidRPr="00000000">
        <w:rPr>
          <w:rFonts w:ascii="Times New Roman" w:cs="Times New Roman" w:eastAsia="Times New Roman" w:hAnsi="Times New Roman"/>
          <w:b w:val="1"/>
          <w:bCs w:val="1"/>
          <w:sz w:val="20"/>
          <w:szCs w:val="20"/>
          <w:highlight w:val="white"/>
          <w:rtl w:val="0"/>
        </w:rPr>
        <w:t xml:space="preserve">practical relevance grounded in the students' original domains</w:t>
      </w:r>
      <w:r w:rsidDel="00000000" w:rsidR="00000000" w:rsidRPr="00000000">
        <w:rPr>
          <w:rFonts w:ascii="Times New Roman" w:cs="Times New Roman" w:eastAsia="Times New Roman" w:hAnsi="Times New Roman"/>
          <w:sz w:val="20"/>
          <w:szCs w:val="20"/>
          <w:highlight w:val="white"/>
          <w:rtl w:val="0"/>
        </w:rPr>
        <w:t xml:space="preserve"> (PS2, PS5, PS8), and the </w:t>
      </w:r>
      <w:r w:rsidDel="00000000" w:rsidR="00000000" w:rsidRPr="00000000">
        <w:rPr>
          <w:rFonts w:ascii="Times New Roman" w:cs="Times New Roman" w:eastAsia="Times New Roman" w:hAnsi="Times New Roman"/>
          <w:b w:val="1"/>
          <w:bCs w:val="1"/>
          <w:sz w:val="20"/>
          <w:szCs w:val="20"/>
          <w:highlight w:val="white"/>
          <w:rtl w:val="0"/>
        </w:rPr>
        <w:t xml:space="preserve">deliberate design of inclusive support systems</w:t>
      </w:r>
      <w:r w:rsidDel="00000000" w:rsidR="00000000" w:rsidRPr="00000000">
        <w:rPr>
          <w:rFonts w:ascii="Times New Roman" w:cs="Times New Roman" w:eastAsia="Times New Roman" w:hAnsi="Times New Roman"/>
          <w:sz w:val="20"/>
          <w:szCs w:val="20"/>
          <w:highlight w:val="white"/>
          <w:rtl w:val="0"/>
        </w:rPr>
        <w:t xml:space="preserve"> (PS7). Academic models that prioritize experiential collaboration and practical focus, to the detriment of the exclusive technical transmission of syntax, prove to be instrumental in successfully integrating students into advanced computational thinking.</w:t>
      </w:r>
    </w:p>
    <w:p w:rsidR="00000000" w:rsidDel="00000000" w:rsidP="00000000" w:rsidRDefault="00000000" w:rsidRPr="00000000" w14:paraId="00000098">
      <w:pPr>
        <w:pStyle w:val="Heading2"/>
        <w:numPr>
          <w:ilvl w:val="0"/>
          <w:numId w:val="1"/>
        </w:numPr>
        <w:shd w:fill="ffffff" w:val="clear"/>
        <w:rPr>
          <w:rFonts w:ascii="Times New Roman" w:cs="Times New Roman" w:eastAsia="Times New Roman" w:hAnsi="Times New Roman"/>
          <w:i w:val="1"/>
          <w:iCs w:val="1"/>
          <w:sz w:val="20"/>
          <w:szCs w:val="20"/>
          <w:highlight w:val="white"/>
        </w:rPr>
      </w:pPr>
      <w:bookmarkStart w:colFirst="0" w:colLast="0" w:name="_r7o0na50sql1" w:id="11"/>
      <w:bookmarkEnd w:id="11"/>
      <w:r w:rsidDel="00000000" w:rsidR="00000000" w:rsidRPr="00000000">
        <w:rPr>
          <w:rtl w:val="0"/>
        </w:rPr>
        <w:t xml:space="preserve">Impact of Difficulties on Academic Performance for Target Audiences</w:t>
      </w:r>
    </w:p>
    <w:p w:rsidR="00000000" w:rsidDel="00000000" w:rsidP="00000000" w:rsidRDefault="00000000" w:rsidRPr="00000000" w14:paraId="00000099">
      <w:pPr>
        <w:shd w:fill="ffffff" w:val="clear"/>
        <w:spacing w:after="120" w:line="302" w:lineRule="auto"/>
        <w:ind w:firstLine="283.4645669291338"/>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The analysis of the selected studies indicated that the technical difficulties faced by graduate and undergraduate students from non-IT backgrounds are not confined to isolated learning obstacles. Rather, they produce concrete, multi-layered effects on academic performance, trajectory, and long-term professional readiness (PS7). Across the eight studies reviewed, impacts were consistently reported along five dimensions: measurable assessment outcomes, quality of computational problem-solving, affective-behavioral engagement, institutional access and progression, and professional competence. Table II summarizes the identified impact categories and the corresponding primary studies.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9A">
      <w:pPr>
        <w:shd w:fill="ffffff" w:val="clear"/>
        <w:spacing w:before="180" w:line="30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mallCaps w:val="1"/>
          <w:sz w:val="18"/>
          <w:szCs w:val="18"/>
          <w:rtl w:val="0"/>
        </w:rPr>
        <w:t xml:space="preserve">TABLE II — Impact Categories and Associated Primary Studies</w:t>
      </w:r>
      <w:r w:rsidDel="00000000" w:rsidR="00000000" w:rsidRPr="00000000">
        <w:rPr>
          <w:rtl w:val="0"/>
        </w:rPr>
      </w:r>
    </w:p>
    <w:tbl>
      <w:tblPr>
        <w:tblStyle w:val="Table2"/>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4.837883959044"/>
        <w:gridCol w:w="1450.1621160409557"/>
        <w:tblGridChange w:id="0">
          <w:tblGrid>
            <w:gridCol w:w="3244.837883959044"/>
            <w:gridCol w:w="1450.1621160409557"/>
          </w:tblGrid>
        </w:tblGridChange>
      </w:tblGrid>
      <w:tr>
        <w:trPr>
          <w:cantSplit w:val="0"/>
          <w:trHeight w:val="405" w:hRule="atLeast"/>
          <w:tblHeader w:val="0"/>
        </w:trPr>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09B">
            <w:pPr>
              <w:spacing w:after="120" w:before="40" w:line="302" w:lineRule="auto"/>
              <w:ind w:left="-80" w:firstLine="0"/>
              <w:jc w:val="both"/>
              <w:rPr>
                <w:rFonts w:ascii="Times New Roman" w:cs="Times New Roman" w:eastAsia="Times New Roman" w:hAnsi="Times New Roman"/>
                <w:b w:val="1"/>
                <w:bCs w:val="1"/>
                <w:sz w:val="16"/>
                <w:szCs w:val="16"/>
                <w:highlight w:val="white"/>
              </w:rPr>
            </w:pPr>
            <w:r w:rsidDel="00000000" w:rsidR="00000000" w:rsidRPr="00000000">
              <w:rPr>
                <w:rFonts w:ascii="Times New Roman" w:cs="Times New Roman" w:eastAsia="Times New Roman" w:hAnsi="Times New Roman"/>
                <w:b w:val="1"/>
                <w:bCs w:val="1"/>
                <w:sz w:val="16"/>
                <w:szCs w:val="16"/>
                <w:highlight w:val="white"/>
                <w:rtl w:val="0"/>
              </w:rPr>
              <w:t xml:space="preserve">Impact Category</w:t>
            </w:r>
          </w:p>
        </w:tc>
        <w:tc>
          <w:tcPr>
            <w:tcBorders>
              <w:top w:color="999999" w:space="0" w:sz="6" w:val="single"/>
              <w:left w:color="999999" w:space="0" w:sz="6" w:val="single"/>
              <w:bottom w:color="999999" w:space="0" w:sz="6" w:val="single"/>
              <w:right w:color="999999" w:space="0" w:sz="6" w:val="single"/>
            </w:tcBorders>
            <w:tcMar>
              <w:top w:w="80.0" w:type="dxa"/>
              <w:left w:w="120.0" w:type="dxa"/>
              <w:bottom w:w="80.0" w:type="dxa"/>
              <w:right w:w="120.0" w:type="dxa"/>
            </w:tcMar>
          </w:tcPr>
          <w:p w:rsidR="00000000" w:rsidDel="00000000" w:rsidP="00000000" w:rsidRDefault="00000000" w:rsidRPr="00000000" w14:paraId="0000009C">
            <w:pPr>
              <w:spacing w:after="120" w:before="40" w:line="302" w:lineRule="auto"/>
              <w:ind w:left="-80" w:firstLine="0"/>
              <w:jc w:val="both"/>
              <w:rPr>
                <w:rFonts w:ascii="Times New Roman" w:cs="Times New Roman" w:eastAsia="Times New Roman" w:hAnsi="Times New Roman"/>
                <w:b w:val="1"/>
                <w:bCs w:val="1"/>
                <w:sz w:val="16"/>
                <w:szCs w:val="16"/>
                <w:highlight w:val="white"/>
              </w:rPr>
            </w:pPr>
            <w:r w:rsidDel="00000000" w:rsidR="00000000" w:rsidRPr="00000000">
              <w:rPr>
                <w:rFonts w:ascii="Times New Roman" w:cs="Times New Roman" w:eastAsia="Times New Roman" w:hAnsi="Times New Roman"/>
                <w:b w:val="1"/>
                <w:bCs w:val="1"/>
                <w:sz w:val="16"/>
                <w:szCs w:val="16"/>
                <w:highlight w:val="white"/>
                <w:rtl w:val="0"/>
              </w:rPr>
              <w:t xml:space="preserve">Primary Studies</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9D">
            <w:pPr>
              <w:shd w:fill="ffffff" w:val="clear"/>
              <w:spacing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Reduction in Assessment Performance and Grades</w:t>
            </w:r>
          </w:p>
        </w:tc>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9E">
            <w:pPr>
              <w:shd w:fill="ffffff" w:val="clear"/>
              <w:spacing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PS1, PS4, PS6</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9F">
            <w:pPr>
              <w:shd w:fill="ffffff" w:val="clear"/>
              <w:spacing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Emotional Distress and Behavioral Disengagement</w:t>
            </w:r>
          </w:p>
        </w:tc>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A0">
            <w:pPr>
              <w:shd w:fill="ffffff" w:val="clear"/>
              <w:spacing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PS7, PS8</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A1">
            <w:pPr>
              <w:shd w:fill="ffffff" w:val="clear"/>
              <w:spacing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Limitation of Research Capability and Data Inefficiency</w:t>
            </w:r>
          </w:p>
        </w:tc>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A2">
            <w:pPr>
              <w:shd w:fill="ffffff" w:val="clear"/>
              <w:spacing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PS3, PS5</w:t>
            </w:r>
          </w:p>
        </w:tc>
      </w:tr>
      <w:tr>
        <w:trPr>
          <w:cantSplit w:val="0"/>
          <w:trHeight w:val="37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A3">
            <w:pPr>
              <w:shd w:fill="ffffff" w:val="clear"/>
              <w:spacing w:line="302"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Strategic Professional Risks and Technical Illiteracy</w:t>
            </w:r>
          </w:p>
        </w:tc>
        <w:tc>
          <w:tcPr>
            <w:tcBorders>
              <w:top w:color="999999" w:space="0" w:sz="6" w:val="single"/>
              <w:left w:color="999999" w:space="0" w:sz="6" w:val="single"/>
              <w:bottom w:color="999999" w:space="0" w:sz="6" w:val="single"/>
              <w:right w:color="999999" w:space="0" w:sz="6" w:val="single"/>
            </w:tcBorders>
            <w:tcMar>
              <w:top w:w="60.0" w:type="dxa"/>
              <w:left w:w="120.0" w:type="dxa"/>
              <w:bottom w:w="60.0" w:type="dxa"/>
              <w:right w:w="120.0" w:type="dxa"/>
            </w:tcMar>
          </w:tcPr>
          <w:p w:rsidR="00000000" w:rsidDel="00000000" w:rsidP="00000000" w:rsidRDefault="00000000" w:rsidRPr="00000000" w14:paraId="000000A4">
            <w:pPr>
              <w:shd w:fill="ffffff" w:val="clear"/>
              <w:spacing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PS2</w:t>
            </w:r>
          </w:p>
        </w:tc>
      </w:tr>
    </w:tbl>
    <w:p w:rsidR="00000000" w:rsidDel="00000000" w:rsidP="00000000" w:rsidRDefault="00000000" w:rsidRPr="00000000" w14:paraId="000000A5">
      <w:pPr>
        <w:shd w:fill="ffffff" w:val="clear"/>
        <w:spacing w:line="276" w:lineRule="auto"/>
        <w:ind w:firstLine="283.4645669291338"/>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6">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classification logic underlying Table I classifies impacts into four fundamental categories: Cognitive and Assessment Performance, Psychological and Instructional, Functional and Research-Oriented, and Professional and Strategic. This taxonomy distinguishes between immediate effects on the learning process (such as code efficiency) and long-term consequences for career autonomy and research potential. Semantically equivalent terms reported across different studies were consolidated into unified categories (for instance, “procrastination,” “delayed effort,” and “partial credit submissions” were grouped under the single category of disengagement and avoidance behaviors).</w:t>
      </w:r>
    </w:p>
    <w:p w:rsidR="00000000" w:rsidDel="00000000" w:rsidP="00000000" w:rsidRDefault="00000000" w:rsidRPr="00000000" w14:paraId="000000A7">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Cognitive Impact and Assessment Performance:</w:t>
      </w:r>
      <w:r w:rsidDel="00000000" w:rsidR="00000000" w:rsidRPr="00000000">
        <w:rPr>
          <w:rFonts w:ascii="Times New Roman" w:cs="Times New Roman" w:eastAsia="Times New Roman" w:hAnsi="Times New Roman"/>
          <w:color w:val="303030"/>
          <w:sz w:val="24"/>
          <w:szCs w:val="2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Difficulties related to the understanding of program construction—both static and dynamic—coupled with traditional, lecture-heavy instructional formats, result in a direct negative correlation with student confidence and academic success (PS1, PS4). Students who struggle to utilize abstract concepts often rely on "trial-and-error" methods, which produce inefficient code and increase susceptibility to distractions during tasks (PS6). This pattern is reflected in significantly lower scores on programming assessments when compared to students who receive structured instructional support (PS4).</w:t>
      </w:r>
    </w:p>
    <w:p w:rsidR="00000000" w:rsidDel="00000000" w:rsidP="00000000" w:rsidRDefault="00000000" w:rsidRPr="00000000" w14:paraId="000000A8">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Psychological and Instructional Impact: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Isolation and fragmented learning, often caused by the absence of a solid departmental computing curriculum and a lack of faculty expertise in technical mentoring, generate a severe negative emotional burden (PS7). Students describe this experience as "a river of tears," leading to disengagement behaviors such as procrastination and the postponement of research efforts (PS7). Furthermore, a mismatch between course content and the student’s personal values causes many to lose interest and stop taking additional computing courses (attrition), despite an initial curiosity (PS8).</w:t>
      </w:r>
    </w:p>
    <w:p w:rsidR="00000000" w:rsidDel="00000000" w:rsidP="00000000" w:rsidRDefault="00000000" w:rsidRPr="00000000" w14:paraId="000000A9">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Functional and Research Application Impact:</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0"/>
          <w:szCs w:val="20"/>
          <w:highlight w:val="white"/>
          <w:rtl w:val="0"/>
        </w:rPr>
        <w:t xml:space="preserve">For graduate students and high-level researchers, the technical knowledge gap creates critical barriers to executing interdisciplinary research (PS5). The difficulty in framing research queries into data science questions prevents the efficient analysis of large datasets (such as genomic or proteomic data), thereby holding scholars back from achieving their full scientific potential (PS3). The absence of CS1 courses that meet the intermediate requirements of fields like experimental psychology prevents these academics from independently handling their data collection and processing needs (PS5).</w:t>
      </w:r>
    </w:p>
    <w:p w:rsidR="00000000" w:rsidDel="00000000" w:rsidP="00000000" w:rsidRDefault="00000000" w:rsidRPr="00000000" w14:paraId="000000AA">
      <w:pPr>
        <w:shd w:fill="ffffff" w:val="clear"/>
        <w:spacing w:after="120" w:line="302"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Professional and Strategic Impact: </w:t>
      </w:r>
      <w:r w:rsidDel="00000000" w:rsidR="00000000" w:rsidRPr="00000000">
        <w:rPr>
          <w:rFonts w:ascii="Times New Roman" w:cs="Times New Roman" w:eastAsia="Times New Roman" w:hAnsi="Times New Roman"/>
          <w:sz w:val="20"/>
          <w:szCs w:val="20"/>
          <w:highlight w:val="white"/>
          <w:rtl w:val="0"/>
        </w:rPr>
        <w:t xml:space="preserve">In the context of business students, intimidation by mathematical content and a lack of pedagogical materials tailored for non-technical audiences result in a superficial understanding of technology, where Artificial Intelligence is often treated as a "black box" (PS2). This insufficient level of technical literacy poses a future academic and professional risk: the possibility of making poor management decisions or losing critical control over automated processes due to ignorance of algorithmic limitations (PS2).</w:t>
      </w:r>
    </w:p>
    <w:p w:rsidR="00000000" w:rsidDel="00000000" w:rsidP="00000000" w:rsidRDefault="00000000" w:rsidRPr="00000000" w14:paraId="000000AB">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C">
      <w:pPr>
        <w:pStyle w:val="Heading2"/>
        <w:numPr>
          <w:ilvl w:val="0"/>
          <w:numId w:val="1"/>
        </w:numPr>
        <w:shd w:fill="ffffff" w:val="clear"/>
        <w:rPr>
          <w:rFonts w:ascii="Times New Roman" w:cs="Times New Roman" w:eastAsia="Times New Roman" w:hAnsi="Times New Roman"/>
          <w:i w:val="1"/>
          <w:iCs w:val="1"/>
          <w:sz w:val="20"/>
          <w:szCs w:val="20"/>
          <w:highlight w:val="white"/>
        </w:rPr>
      </w:pPr>
      <w:bookmarkStart w:colFirst="0" w:colLast="0" w:name="_ygriezh1guwo" w:id="12"/>
      <w:bookmarkEnd w:id="12"/>
      <w:r w:rsidDel="00000000" w:rsidR="00000000" w:rsidRPr="00000000">
        <w:rPr>
          <w:rtl w:val="0"/>
        </w:rPr>
        <w:t xml:space="preserve">Main Challenges in Developing Technical Skills</w:t>
      </w:r>
    </w:p>
    <w:p w:rsidR="00000000" w:rsidDel="00000000" w:rsidP="00000000" w:rsidRDefault="00000000" w:rsidRPr="00000000" w14:paraId="000000AD">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Based on the data extracted from the selected primary studies, the development of technical skills in non-IT majors faces a multifaceted set of challenges (PS1, PS7, PS8). Answering Q5, the evidence reveals that barriers to learning extend beyond cognitive difficulties with the content itself, encompassing institutional limitations, pedagogical gaps, socio-emotional factors, and a lack of perceived relevance (PS1, PS8). Following the structure of a Systematic Mapping Study, the main challenges identified in the literature are consolidated into the following categories:</w:t>
      </w:r>
    </w:p>
    <w:p w:rsidR="00000000" w:rsidDel="00000000" w:rsidP="00000000" w:rsidRDefault="00000000" w:rsidRPr="00000000" w14:paraId="000000AE">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Structural and Institutional Barriers</w:t>
      </w:r>
      <w:r w:rsidDel="00000000" w:rsidR="00000000" w:rsidRPr="00000000">
        <w:rPr>
          <w:rFonts w:ascii="Times New Roman" w:cs="Times New Roman" w:eastAsia="Times New Roman" w:hAnsi="Times New Roman"/>
          <w:sz w:val="20"/>
          <w:szCs w:val="20"/>
          <w:highlight w:val="white"/>
          <w:rtl w:val="0"/>
        </w:rPr>
        <w:t xml:space="preserve">: A significant obstacle for non-IT students is navigating the university infrastructure to access adequate learning opportunities (PS8). The literature indicates that "even after developing individual interest in computing, students faced structural barriers that hindered further engagement in academic settings… Common barriers included enrollment restrictions, limited seats, and prerequisite requirements" (PS8). Furthermore, students report facing physical and operational limitations, including the "inability to access workable hardware or software" and a "lack of time to engage with resources" due to the heavy workloads of their primary disciplines (PS7). There is also a pervasive "lack of awareness of existing resources," leaving many students unaware of available technical support or introductory pathways (PS7).</w:t>
      </w:r>
    </w:p>
    <w:p w:rsidR="00000000" w:rsidDel="00000000" w:rsidP="00000000" w:rsidRDefault="00000000" w:rsidRPr="00000000" w14:paraId="000000AF">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Pedagogical and Instructional Challenges</w:t>
      </w:r>
      <w:r w:rsidDel="00000000" w:rsidR="00000000" w:rsidRPr="00000000">
        <w:rPr>
          <w:rFonts w:ascii="Times New Roman" w:cs="Times New Roman" w:eastAsia="Times New Roman" w:hAnsi="Times New Roman"/>
          <w:sz w:val="20"/>
          <w:szCs w:val="20"/>
          <w:highlight w:val="white"/>
          <w:rtl w:val="0"/>
        </w:rPr>
        <w:t xml:space="preserve">: The way computing courses are traditionally taught poses significant challenges for non-majors (PS1, PS8). A major barrier is the "lack of meaningful interaction with instructors and course staff, often due to large course sizes and the absence of in-person components" (PS8). Students also express frustration with a "lack of clarity within the classroom and from leadership" (PS7). Even when instructors attempt to implement active learning strategies to improve engagement, logistical challenges arise (PS1). For example, studies report that "implementing collaborative learning, problem-based learning and gamification using the whiteboards to solve problems in class can be time consuming" (PS1). Instructors also face the challenge that "students do not tend to prepare for class by reading the assigned class material" (PS1) and sometimes "did not have a clear understanding of what each [learning] entailed," which threatens the validity and effectiveness of the pedagogical interventions (PS1).</w:t>
      </w:r>
    </w:p>
    <w:p w:rsidR="00000000" w:rsidDel="00000000" w:rsidP="00000000" w:rsidRDefault="00000000" w:rsidRPr="00000000" w14:paraId="000000B0">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Socio-Emotional and Environmental Barriers</w:t>
      </w:r>
      <w:r w:rsidDel="00000000" w:rsidR="00000000" w:rsidRPr="00000000">
        <w:rPr>
          <w:rFonts w:ascii="Times New Roman" w:cs="Times New Roman" w:eastAsia="Times New Roman" w:hAnsi="Times New Roman"/>
          <w:sz w:val="20"/>
          <w:szCs w:val="20"/>
          <w:highlight w:val="white"/>
          <w:rtl w:val="0"/>
        </w:rPr>
        <w:t xml:space="preserve">: The psychological and social environment plays a critical role in whether students persist or abandon computing (PS7,  PS8). Students frequently experience strong feelings of "isolation from peers and experts" (PS7). This isolation is exacerbated by negative stereotypes surrounding the computing field (PS8). The literature points out that "one common perception was that CS work is solitary and individualistic," with students describing coding as "very individual based" and viewing the CS environment as "highly competitive" (PS8). Additionally, collaborative and engaging activities can introduce social friction (PS1). During active learning and gamification strategies, "some students find it embarrassing when they do not know the answers," which can discourage participation (PS1). Group work also presents challenges, as "depending on who you are partnering with, collaborative learning can be difficult and leads to larger workloads" (PS1).</w:t>
      </w:r>
    </w:p>
    <w:p w:rsidR="00000000" w:rsidDel="00000000" w:rsidP="00000000" w:rsidRDefault="00000000" w:rsidRPr="00000000" w14:paraId="000000B1">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Lack of Perceived Relevance</w:t>
      </w:r>
      <w:r w:rsidDel="00000000" w:rsidR="00000000" w:rsidRPr="00000000">
        <w:rPr>
          <w:rFonts w:ascii="Times New Roman" w:cs="Times New Roman" w:eastAsia="Times New Roman" w:hAnsi="Times New Roman"/>
          <w:sz w:val="20"/>
          <w:szCs w:val="20"/>
          <w:highlight w:val="white"/>
          <w:rtl w:val="0"/>
        </w:rPr>
        <w:t xml:space="preserve">: A critical challenge in developing technical skills is keeping students engaged when the material seems disconnected from their primary goals (PS8). Studies found that "many students, regardless of their level of interest in computing, felt that introductory courses were not designed to maintain non-CS majors' interest" (PS8). Without clear contextualization, "business students, in particular, appeared to face greater difficulty in seeing the relevance of computing to their field" (PS8). When students cannot map the technical skills to their own domain, they anticipate failure or believe that it would only "negatively impact my GPA," leading them to disengage entirely (PS8).</w:t>
      </w:r>
    </w:p>
    <w:p w:rsidR="00000000" w:rsidDel="00000000" w:rsidP="00000000" w:rsidRDefault="00000000" w:rsidRPr="00000000" w14:paraId="000000B2">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Ecosystem and Code Fragility</w:t>
      </w:r>
      <w:r w:rsidDel="00000000" w:rsidR="00000000" w:rsidRPr="00000000">
        <w:rPr>
          <w:rFonts w:ascii="Times New Roman" w:cs="Times New Roman" w:eastAsia="Times New Roman" w:hAnsi="Times New Roman"/>
          <w:sz w:val="20"/>
          <w:szCs w:val="20"/>
          <w:highlight w:val="white"/>
          <w:rtl w:val="0"/>
        </w:rPr>
        <w:t xml:space="preserve">: Finally, as students progress and attempt to use computing for independent research, they encounter the chaotic reality of the software ecosystem (PS7). Students struggle with "fragile and abandoned code from others" (PS7). The literature documents that for novice researchers trying to use existing libraries or scripts, "the worst [challenge] is when a resource or a library gets abandoned" and that they are heavily penalized by "depending on code that is so frail if neglected" (PS7).</w:t>
      </w:r>
    </w:p>
    <w:p w:rsidR="00000000" w:rsidDel="00000000" w:rsidP="00000000" w:rsidRDefault="00000000" w:rsidRPr="00000000" w14:paraId="000000B3">
      <w:pPr>
        <w:spacing w:after="200" w:lineRule="auto"/>
        <w:ind w:firstLine="283.4645669291338"/>
        <w:jc w:val="both"/>
        <w:rPr>
          <w:rFonts w:ascii="Times New Roman" w:cs="Times New Roman" w:eastAsia="Times New Roman" w:hAnsi="Times New Roman"/>
          <w:color w:val="ff0000"/>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summary, developing technical competencies in non-IT target audiences is hindered by a complex intersection of factors (PS1, PS7, PS8). To effectively foster computational skills, educational initiatives must go beyond syntax instruction to address structural bottlenecks, design inclusive and highly contextualized pedagogical environments, and actively dismantle the stereotypes and isolation that drive these students away from computing (PS1, PS7, PS8).</w:t>
      </w:r>
      <w:r w:rsidDel="00000000" w:rsidR="00000000" w:rsidRPr="00000000">
        <w:rPr>
          <w:rtl w:val="0"/>
        </w:rPr>
      </w:r>
    </w:p>
    <w:p w:rsidR="00000000" w:rsidDel="00000000" w:rsidP="00000000" w:rsidRDefault="00000000" w:rsidRPr="00000000" w14:paraId="000000B4">
      <w:pPr>
        <w:pStyle w:val="Heading1"/>
        <w:numPr>
          <w:ilvl w:val="0"/>
          <w:numId w:val="15"/>
        </w:numPr>
        <w:rPr>
          <w:smallCaps w:val="1"/>
          <w:highlight w:val="white"/>
        </w:rPr>
      </w:pPr>
      <w:bookmarkStart w:colFirst="0" w:colLast="0" w:name="_ljh274ot1otw" w:id="13"/>
      <w:bookmarkEnd w:id="13"/>
      <w:r w:rsidDel="00000000" w:rsidR="00000000" w:rsidRPr="00000000">
        <w:rPr>
          <w:rtl w:val="0"/>
        </w:rPr>
        <w:t xml:space="preserve">Integrated Findings</w:t>
      </w:r>
    </w:p>
    <w:p w:rsidR="00000000" w:rsidDel="00000000" w:rsidP="00000000" w:rsidRDefault="00000000" w:rsidRPr="00000000" w14:paraId="000000B5">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five research questions addressed in this study — covering the contexts of instruction (Q1), the nature of technical difficulties (Q2), the pedagogical approaches employed (Q3), their impact on academic performance (Q4), and the structural challenges that persist (Q5) — collectively reveal a coherent and mutually reinforcing picture of the barriers non-IT graduate students face when engaging with computing education. Rather than isolated phenomena, the findings across all eight primary studies converge on a central insight: the difficulties experienced by this population are not primarily cognitive in nature, but are instead deeply embedded in a misalignment between existing educational structures and the specific learning needs, motivations, and constraints of non-computing learners. Students from psychology, business, engineering, and the biosciences do not fail to learn computing because they lack intellectual capacity; they fail because the environments, curricula, and pedagogical models they encounter were not designed for them. Inspired by the multi-layered transformation approach, the development of technical skills in students from non-IT backgrounds must be understood as a systemic and dynamic process, shaped by the continuous interaction among the multiple identified dimensions (Q1–Q5).</w:t>
      </w:r>
    </w:p>
    <w:p w:rsidR="00000000" w:rsidDel="00000000" w:rsidP="00000000" w:rsidRDefault="00000000" w:rsidRPr="00000000" w14:paraId="000000B6">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contexts of educational innovation (Q1), which range from first-year engineering students to postdoctoral researchers in biosciences or master's students in business, dictate the nature of the technical difficulties (Q2) faced by these learners. Lacking appropriate mental models, these students struggle directly with syntax, static logic, and the dynamic flow of programs, in addition to encountering gaps in the mathematical foundations required for computational thinking. Consequently, they tend to resort to "trial and error" strategies rather than applying structured algorithmic thinking.</w:t>
      </w:r>
    </w:p>
    <w:p w:rsidR="00000000" w:rsidDel="00000000" w:rsidP="00000000" w:rsidRDefault="00000000" w:rsidRPr="00000000" w14:paraId="000000B7">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cognitive and technical barriers (Q2) do not occur in a vacuum; they are severely amplified by institutional, pedagogical, and socio-emotional challenges (Q5). The literature highlights that feelings of isolation, overcrowded classes, stereotypes about the computing field, and a lack of perceived relevance of the content to the students' original domains act as strong inhibitors of learning.</w:t>
      </w:r>
    </w:p>
    <w:p w:rsidR="00000000" w:rsidDel="00000000" w:rsidP="00000000" w:rsidRDefault="00000000" w:rsidRPr="00000000" w14:paraId="000000B8">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combination of technical difficulties and these challenges culminates in profound impacts on academic performance, research trajectories, and long-term professional readiness (Q4). Students report severe emotional distress and disengagement (such as procrastination and partial submissions) when faced with the fragility of codes they cannot debug. At the research level (Master's, PhD, and Postdoctoral), technical inefficiency prevents the independent analysis of large volumes of data (e.g., genomics), actively limiting scientific potential. In the corporate world, this gap results in technical illiteracy, where critical tools (like Artificial Intelligence) are treated as "black boxes," generating strategic management risks.</w:t>
      </w:r>
    </w:p>
    <w:p w:rsidR="00000000" w:rsidDel="00000000" w:rsidP="00000000" w:rsidRDefault="00000000" w:rsidRPr="00000000" w14:paraId="000000B9">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 mitigate the detrimental impacts (Q4) and overcome structural and cognitive challenges (Q5, Q2), teaching methods and approaches (Q3) act as crucial mediators, since they represent the primary lever through which the difficulties loop can be interrupted. Mitigation does not occur through the isolated teaching of programming but requires a multifaceted combination of gradual cognitive support and active methodologies.</w:t>
      </w:r>
    </w:p>
    <w:p w:rsidR="00000000" w:rsidDel="00000000" w:rsidP="00000000" w:rsidRDefault="00000000" w:rsidRPr="00000000" w14:paraId="000000BA">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evidence consistently shows that interventions anchored in domain relevance, graduated cognitive support, and active participation produce measurably better outcomes than traditional lecture-centered instruction. In this sense, the adoption of guided inquiry for code interpretation, pair programming, visual block-based programming, and, most critically, problem-based learning anchored in the student's original domain (such as using real research data in psychology or business applications) are fundamental to lowering the entry barrier and justifying the practical value of computing.</w:t>
      </w:r>
    </w:p>
    <w:p w:rsidR="00000000" w:rsidDel="00000000" w:rsidP="00000000" w:rsidRDefault="00000000" w:rsidRPr="00000000" w14:paraId="000000BB">
      <w:pPr>
        <w:spacing w:after="200" w:lineRule="auto"/>
        <w:ind w:firstLine="283.4645669291338"/>
        <w:jc w:val="both"/>
        <w:rPr>
          <w:rFonts w:ascii="Times New Roman" w:cs="Times New Roman" w:eastAsia="Times New Roman" w:hAnsi="Times New Roman"/>
          <w:color w:val="ff0000"/>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Therefore, sustainable performance and the student's transition from layperson to technically proficient depend on how the institution manages the learning culture. Successful educational projects prioritize experiential collaboration, interdisciplinary curricula, and the deconstruction of socio-emotional barriers. This proves that teaching computational skills to non-specialists is not merely a transfer of syntax, but a profound socio-technical and educational transformation.</w:t>
      </w:r>
      <w:r w:rsidDel="00000000" w:rsidR="00000000" w:rsidRPr="00000000">
        <w:rPr>
          <w:rtl w:val="0"/>
        </w:rPr>
      </w:r>
    </w:p>
    <w:p w:rsidR="00000000" w:rsidDel="00000000" w:rsidP="00000000" w:rsidRDefault="00000000" w:rsidRPr="00000000" w14:paraId="000000BC">
      <w:pPr>
        <w:pStyle w:val="Heading1"/>
        <w:numPr>
          <w:ilvl w:val="0"/>
          <w:numId w:val="15"/>
        </w:numPr>
        <w:rPr>
          <w:smallCaps w:val="1"/>
          <w:highlight w:val="white"/>
        </w:rPr>
      </w:pPr>
      <w:bookmarkStart w:colFirst="0" w:colLast="0" w:name="_5r8xe5y7t5qd" w:id="14"/>
      <w:bookmarkEnd w:id="14"/>
      <w:r w:rsidDel="00000000" w:rsidR="00000000" w:rsidRPr="00000000">
        <w:rPr>
          <w:rtl w:val="0"/>
        </w:rPr>
        <w:t xml:space="preserve">Final Remarks</w:t>
      </w:r>
    </w:p>
    <w:p w:rsidR="00000000" w:rsidDel="00000000" w:rsidP="00000000" w:rsidRDefault="00000000" w:rsidRPr="00000000" w14:paraId="000000BD">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study investigated the technical difficulties faced by undergraduate and graduate students from non-IT backgrounds when acquiring computational skills, analyzing the educational approaches used, the impacts on their academic performance, and the primary challenges involved. The review of the 8 selected primary studies reveals that learning programming for this audience acts as a cross-cutting hurdle that goes far beyond simply memorizing syntax. It involves a deep cognitive shift towards computational thinking, requiring students to grasp both the static structure and dynamic flow of algorithms, while navigating fragile code ecosystems.</w:t>
      </w:r>
    </w:p>
    <w:p w:rsidR="00000000" w:rsidDel="00000000" w:rsidP="00000000" w:rsidRDefault="00000000" w:rsidRPr="00000000" w14:paraId="000000BE">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findings demonstrate that these technical difficulties produce severe academic and psychological impacts. Students frequently experience emotional distress, isolation, and behavioral disengagement. Furthermore, in graduate contexts, the inability to independently analyze large datasets significantly limits their research capabilities, while in corporate environments, it leads to strategic professional risks due to technical illiteracy. However, the literature also shows that these barriers can be mitigated through carefully designed pedagogical interventions. The adoption of active and collaborative learning, cognitive scaffolding, guided inquiry, and problem-based learning—especially when anchored in the students' original domains (e.g., psychology, biosciences, or business)—proves essential in lowering entry barriers and increasing the perceived relevance of computing.</w:t>
      </w:r>
    </w:p>
    <w:p w:rsidR="00000000" w:rsidDel="00000000" w:rsidP="00000000" w:rsidRDefault="00000000" w:rsidRPr="00000000" w14:paraId="000000BF">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Despite the rigorous application of the Systematic Mapping Study methodology, certain validity threats must be acknowledged. Construct validity may be affected by the wide variety of terms used across different disciplines (e.g., social sciences vs. business) to describe computational education, which might have led to missing some relevant studies despite a comprehensive search string. Internal validity concerns the potential for bias during the study selection and data extraction phases; this was mitigated by using a standardized quality assessment (CQ1-CQ5) and cross-checking the extracted data among the research team. External validity is heavily limited by the small sample size of 8 primary studies and a strong geographical concentration, with 87.5% of the studies originating from institutions in the United States. This restricts the generalizability of the findings to other cultural contexts, educational systems, or developing countries. Lastly, conclusion validity is constrained by the qualitative nature of most primary studies, which limits statistical generalization but provides rich, context-specific insights.</w:t>
      </w:r>
    </w:p>
    <w:p w:rsidR="00000000" w:rsidDel="00000000" w:rsidP="00000000" w:rsidRDefault="00000000" w:rsidRPr="00000000" w14:paraId="000000C0">
      <w:pPr>
        <w:spacing w:after="200" w:lineRule="auto"/>
        <w:ind w:firstLine="283.4645669291338"/>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Finally, future research should explore the long-term impacts of interdisciplinary computing education on the professional trajectories of non-IT graduates. Developing integrated models that combine cultural, technological, and strategic aspects of computing education is highly recommended. More empirical studies are needed in underexplored regions outside the United States to understand how different institutional cultures affect the adoption of computational skills. Additionally, fostering deeper interdisciplinary collaborations between Computer Science educators and domain-specific faculties can provide a more comprehensive understanding of how to build robust, inclusive, and highly contextualized curricula that prevent students from feeling isolated and unsupported in their learning journeys.</w:t>
      </w:r>
    </w:p>
    <w:p w:rsidR="00000000" w:rsidDel="00000000" w:rsidP="00000000" w:rsidRDefault="00000000" w:rsidRPr="00000000" w14:paraId="000000C1">
      <w:pPr>
        <w:pStyle w:val="Heading3"/>
        <w:rPr>
          <w:b w:val="1"/>
          <w:bCs w:val="1"/>
        </w:rPr>
      </w:pPr>
      <w:bookmarkStart w:colFirst="0" w:colLast="0" w:name="_rk71sx1laq6l" w:id="15"/>
      <w:bookmarkEnd w:id="15"/>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0C2">
      <w:pPr>
        <w:spacing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P. J. Clarke, M. Thirunarayanan, S. C. Allala, J. P. Sotomayor, and M. S. Ross, "Experiences of integrating learning and engagement strategies (LESs) into software engineering courses," in </w:t>
      </w:r>
      <w:r w:rsidDel="00000000" w:rsidR="00000000" w:rsidRPr="00000000">
        <w:rPr>
          <w:rFonts w:ascii="Times New Roman" w:cs="Times New Roman" w:eastAsia="Times New Roman" w:hAnsi="Times New Roman"/>
          <w:i w:val="1"/>
          <w:iCs w:val="1"/>
          <w:sz w:val="20"/>
          <w:szCs w:val="20"/>
          <w:highlight w:val="white"/>
          <w:rtl w:val="0"/>
        </w:rPr>
        <w:t xml:space="preserve">Proc. 2020 ASEE Annual Conference &amp; Exposition</w:t>
      </w:r>
      <w:r w:rsidDel="00000000" w:rsidR="00000000" w:rsidRPr="00000000">
        <w:rPr>
          <w:rFonts w:ascii="Times New Roman" w:cs="Times New Roman" w:eastAsia="Times New Roman" w:hAnsi="Times New Roman"/>
          <w:sz w:val="20"/>
          <w:szCs w:val="20"/>
          <w:highlight w:val="white"/>
          <w:rtl w:val="0"/>
        </w:rPr>
        <w:t xml:space="preserve">, Montreal, Canada, 2020, Paper ID #29819.</w:t>
      </w:r>
    </w:p>
    <w:p w:rsidR="00000000" w:rsidDel="00000000" w:rsidP="00000000" w:rsidRDefault="00000000" w:rsidRPr="00000000" w14:paraId="000000C3">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J. J. Xu and T. Babaian, "Artificial intelligence in business curriculum: The pedagogy and learning outcomes," </w:t>
      </w:r>
      <w:r w:rsidDel="00000000" w:rsidR="00000000" w:rsidRPr="00000000">
        <w:rPr>
          <w:rFonts w:ascii="Times New Roman" w:cs="Times New Roman" w:eastAsia="Times New Roman" w:hAnsi="Times New Roman"/>
          <w:i w:val="1"/>
          <w:iCs w:val="1"/>
          <w:sz w:val="20"/>
          <w:szCs w:val="20"/>
          <w:highlight w:val="white"/>
          <w:rtl w:val="0"/>
        </w:rPr>
        <w:t xml:space="preserve">The International Journal of Management Education</w:t>
      </w:r>
      <w:r w:rsidDel="00000000" w:rsidR="00000000" w:rsidRPr="00000000">
        <w:rPr>
          <w:rFonts w:ascii="Times New Roman" w:cs="Times New Roman" w:eastAsia="Times New Roman" w:hAnsi="Times New Roman"/>
          <w:sz w:val="20"/>
          <w:szCs w:val="20"/>
          <w:highlight w:val="white"/>
          <w:rtl w:val="0"/>
        </w:rPr>
        <w:t xml:space="preserve">, vol. 19, no. 3, p. 100550, 2021. doi: 10.1016/j.ijme.2021.100550.</w:t>
      </w:r>
    </w:p>
    <w:p w:rsidR="00000000" w:rsidDel="00000000" w:rsidP="00000000" w:rsidRDefault="00000000" w:rsidRPr="00000000" w14:paraId="000000C4">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A. Barman, L. S. Beckman, and Y. Chebaro, "Interdisciplinary computing education: An introductory programming and data science course for postdoctoral researchers in the biosciences," in </w:t>
      </w:r>
      <w:r w:rsidDel="00000000" w:rsidR="00000000" w:rsidRPr="00000000">
        <w:rPr>
          <w:rFonts w:ascii="Times New Roman" w:cs="Times New Roman" w:eastAsia="Times New Roman" w:hAnsi="Times New Roman"/>
          <w:i w:val="1"/>
          <w:iCs w:val="1"/>
          <w:sz w:val="20"/>
          <w:szCs w:val="20"/>
          <w:highlight w:val="white"/>
          <w:rtl w:val="0"/>
        </w:rPr>
        <w:t xml:space="preserve">Proc. 2022 IEEE Frontiers in Education Conference (FIE)</w:t>
      </w:r>
      <w:r w:rsidDel="00000000" w:rsidR="00000000" w:rsidRPr="00000000">
        <w:rPr>
          <w:rFonts w:ascii="Times New Roman" w:cs="Times New Roman" w:eastAsia="Times New Roman" w:hAnsi="Times New Roman"/>
          <w:sz w:val="20"/>
          <w:szCs w:val="20"/>
          <w:highlight w:val="white"/>
          <w:rtl w:val="0"/>
        </w:rPr>
        <w:t xml:space="preserve">, Uppsala, Sweden, 2022, pp. 1–9. doi: 10.1109/FIE56618.2022.9962524.</w:t>
      </w:r>
    </w:p>
    <w:p w:rsidR="00000000" w:rsidDel="00000000" w:rsidP="00000000" w:rsidRDefault="00000000" w:rsidRPr="00000000" w14:paraId="000000C5">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B. Bettin, M. Jarvie-Eggart, K. S. Steelman, and C. Wallace, "Preparing first-year engineering students to think about code: A guided inquiry approach," </w:t>
      </w:r>
      <w:r w:rsidDel="00000000" w:rsidR="00000000" w:rsidRPr="00000000">
        <w:rPr>
          <w:rFonts w:ascii="Times New Roman" w:cs="Times New Roman" w:eastAsia="Times New Roman" w:hAnsi="Times New Roman"/>
          <w:i w:val="1"/>
          <w:iCs w:val="1"/>
          <w:sz w:val="20"/>
          <w:szCs w:val="20"/>
          <w:highlight w:val="white"/>
          <w:rtl w:val="0"/>
        </w:rPr>
        <w:t xml:space="preserve">IEEE Transactions on Education</w:t>
      </w:r>
      <w:r w:rsidDel="00000000" w:rsidR="00000000" w:rsidRPr="00000000">
        <w:rPr>
          <w:rFonts w:ascii="Times New Roman" w:cs="Times New Roman" w:eastAsia="Times New Roman" w:hAnsi="Times New Roman"/>
          <w:sz w:val="20"/>
          <w:szCs w:val="20"/>
          <w:highlight w:val="white"/>
          <w:rtl w:val="0"/>
        </w:rPr>
        <w:t xml:space="preserve">, vol. 65, no. 3, pp. 319–330, Aug. 2022. doi: 10.1109/TE.2022.3140209.</w:t>
      </w:r>
    </w:p>
    <w:p w:rsidR="00000000" w:rsidDel="00000000" w:rsidP="00000000" w:rsidRDefault="00000000" w:rsidRPr="00000000" w14:paraId="000000C6">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K. Mike and O. Hazzan, "Interdisciplinary CS1 course for non-majors: The case of graduate psychology students," in </w:t>
      </w:r>
      <w:r w:rsidDel="00000000" w:rsidR="00000000" w:rsidRPr="00000000">
        <w:rPr>
          <w:rFonts w:ascii="Times New Roman" w:cs="Times New Roman" w:eastAsia="Times New Roman" w:hAnsi="Times New Roman"/>
          <w:i w:val="1"/>
          <w:iCs w:val="1"/>
          <w:sz w:val="20"/>
          <w:szCs w:val="20"/>
          <w:highlight w:val="white"/>
          <w:rtl w:val="0"/>
        </w:rPr>
        <w:t xml:space="preserve">Proc. 2022 IEEE Global Engineering Education Conference (EDUCON)</w:t>
      </w:r>
      <w:r w:rsidDel="00000000" w:rsidR="00000000" w:rsidRPr="00000000">
        <w:rPr>
          <w:rFonts w:ascii="Times New Roman" w:cs="Times New Roman" w:eastAsia="Times New Roman" w:hAnsi="Times New Roman"/>
          <w:sz w:val="20"/>
          <w:szCs w:val="20"/>
          <w:highlight w:val="white"/>
          <w:rtl w:val="0"/>
        </w:rPr>
        <w:t xml:space="preserve">, Tunis, Tunisia, 2022, pp. 1–8. doi: 10.1109/EDUCON52537.2022.9766516.</w:t>
      </w:r>
    </w:p>
    <w:p w:rsidR="00000000" w:rsidDel="00000000" w:rsidP="00000000" w:rsidRDefault="00000000" w:rsidRPr="00000000" w14:paraId="000000C7">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Y. Zhang and T. Rutherford, "Scaffolding expertise: Evaluating scaffolds for block-based coding among experts and novices," in </w:t>
      </w:r>
      <w:r w:rsidDel="00000000" w:rsidR="00000000" w:rsidRPr="00000000">
        <w:rPr>
          <w:rFonts w:ascii="Times New Roman" w:cs="Times New Roman" w:eastAsia="Times New Roman" w:hAnsi="Times New Roman"/>
          <w:i w:val="1"/>
          <w:iCs w:val="1"/>
          <w:sz w:val="20"/>
          <w:szCs w:val="20"/>
          <w:highlight w:val="white"/>
          <w:rtl w:val="0"/>
        </w:rPr>
        <w:t xml:space="preserve">Proc. 2024 ACM Conference on International Computing Education Research (ICER)</w:t>
      </w:r>
      <w:r w:rsidDel="00000000" w:rsidR="00000000" w:rsidRPr="00000000">
        <w:rPr>
          <w:rFonts w:ascii="Times New Roman" w:cs="Times New Roman" w:eastAsia="Times New Roman" w:hAnsi="Times New Roman"/>
          <w:sz w:val="20"/>
          <w:szCs w:val="20"/>
          <w:highlight w:val="white"/>
          <w:rtl w:val="0"/>
        </w:rPr>
        <w:t xml:space="preserve">, Melbourne, Australia, 2024, pp. 275–290. doi: 10.1145/3632620.3671104.</w:t>
      </w:r>
    </w:p>
    <w:p w:rsidR="00000000" w:rsidDel="00000000" w:rsidP="00000000" w:rsidRDefault="00000000" w:rsidRPr="00000000" w14:paraId="000000C8">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A. Tarter, M. Zhou, S. Yarosh, and D. DeLiema, "'A river of tears is a valid answer?': Social science graduate students' experiences learning programming for research," in </w:t>
      </w:r>
      <w:r w:rsidDel="00000000" w:rsidR="00000000" w:rsidRPr="00000000">
        <w:rPr>
          <w:rFonts w:ascii="Times New Roman" w:cs="Times New Roman" w:eastAsia="Times New Roman" w:hAnsi="Times New Roman"/>
          <w:i w:val="1"/>
          <w:iCs w:val="1"/>
          <w:sz w:val="20"/>
          <w:szCs w:val="20"/>
          <w:highlight w:val="white"/>
          <w:rtl w:val="0"/>
        </w:rPr>
        <w:t xml:space="preserve">Proc. 2025 ACM CHI Conference on Human Factors in Computing Systems (CHI)</w:t>
      </w:r>
      <w:r w:rsidDel="00000000" w:rsidR="00000000" w:rsidRPr="00000000">
        <w:rPr>
          <w:rFonts w:ascii="Times New Roman" w:cs="Times New Roman" w:eastAsia="Times New Roman" w:hAnsi="Times New Roman"/>
          <w:sz w:val="20"/>
          <w:szCs w:val="20"/>
          <w:highlight w:val="white"/>
          <w:rtl w:val="0"/>
        </w:rPr>
        <w:t xml:space="preserve">, Yokohama, Japan, 2025. doi: 10.1145/3706598.3713413.</w:t>
      </w:r>
    </w:p>
    <w:p w:rsidR="00000000" w:rsidDel="00000000" w:rsidP="00000000" w:rsidRDefault="00000000" w:rsidRPr="00000000" w14:paraId="000000C9">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J. Hur, M. M. Kang, J. Park, and K. Cunningham, "Applying the model of interest development to understand why non-CS majors decide to persist in or leave computing," in </w:t>
      </w:r>
      <w:r w:rsidDel="00000000" w:rsidR="00000000" w:rsidRPr="00000000">
        <w:rPr>
          <w:rFonts w:ascii="Times New Roman" w:cs="Times New Roman" w:eastAsia="Times New Roman" w:hAnsi="Times New Roman"/>
          <w:i w:val="1"/>
          <w:iCs w:val="1"/>
          <w:sz w:val="20"/>
          <w:szCs w:val="20"/>
          <w:highlight w:val="white"/>
          <w:rtl w:val="0"/>
        </w:rPr>
        <w:t xml:space="preserve">Proc. 2025 ACM Technical Symposium on Computer Science Education (SIGCSE)</w:t>
      </w:r>
      <w:r w:rsidDel="00000000" w:rsidR="00000000" w:rsidRPr="00000000">
        <w:rPr>
          <w:rFonts w:ascii="Times New Roman" w:cs="Times New Roman" w:eastAsia="Times New Roman" w:hAnsi="Times New Roman"/>
          <w:sz w:val="20"/>
          <w:szCs w:val="20"/>
          <w:highlight w:val="white"/>
          <w:rtl w:val="0"/>
        </w:rPr>
        <w:t xml:space="preserve">, Pittsburgh, PA, USA, 2025. doi: 10.1145/3641554.3701887.</w:t>
      </w:r>
    </w:p>
    <w:p w:rsidR="00000000" w:rsidDel="00000000" w:rsidP="00000000" w:rsidRDefault="00000000" w:rsidRPr="00000000" w14:paraId="000000CA">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J. M. Wing, "Computational thinking," </w:t>
      </w:r>
      <w:r w:rsidDel="00000000" w:rsidR="00000000" w:rsidRPr="00000000">
        <w:rPr>
          <w:rFonts w:ascii="Times New Roman" w:cs="Times New Roman" w:eastAsia="Times New Roman" w:hAnsi="Times New Roman"/>
          <w:i w:val="1"/>
          <w:iCs w:val="1"/>
          <w:sz w:val="20"/>
          <w:szCs w:val="20"/>
          <w:highlight w:val="white"/>
          <w:rtl w:val="0"/>
        </w:rPr>
        <w:t xml:space="preserve">Communications of the ACM</w:t>
      </w:r>
      <w:r w:rsidDel="00000000" w:rsidR="00000000" w:rsidRPr="00000000">
        <w:rPr>
          <w:rFonts w:ascii="Times New Roman" w:cs="Times New Roman" w:eastAsia="Times New Roman" w:hAnsi="Times New Roman"/>
          <w:sz w:val="20"/>
          <w:szCs w:val="20"/>
          <w:highlight w:val="white"/>
          <w:rtl w:val="0"/>
        </w:rPr>
        <w:t xml:space="preserve">, vol. 49, no. 3, pp. 33–35, Mar. 2006.</w:t>
      </w:r>
    </w:p>
    <w:p w:rsidR="00000000" w:rsidDel="00000000" w:rsidP="00000000" w:rsidRDefault="00000000" w:rsidRPr="00000000" w14:paraId="000000CB">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D. Weintrop et al., "Defining computational thinking for mathematics and science classrooms," </w:t>
      </w:r>
      <w:r w:rsidDel="00000000" w:rsidR="00000000" w:rsidRPr="00000000">
        <w:rPr>
          <w:rFonts w:ascii="Times New Roman" w:cs="Times New Roman" w:eastAsia="Times New Roman" w:hAnsi="Times New Roman"/>
          <w:i w:val="1"/>
          <w:iCs w:val="1"/>
          <w:sz w:val="20"/>
          <w:szCs w:val="20"/>
          <w:highlight w:val="white"/>
          <w:rtl w:val="0"/>
        </w:rPr>
        <w:t xml:space="preserve">Journal of Science Education and Technology</w:t>
      </w:r>
      <w:r w:rsidDel="00000000" w:rsidR="00000000" w:rsidRPr="00000000">
        <w:rPr>
          <w:rFonts w:ascii="Times New Roman" w:cs="Times New Roman" w:eastAsia="Times New Roman" w:hAnsi="Times New Roman"/>
          <w:sz w:val="20"/>
          <w:szCs w:val="20"/>
          <w:highlight w:val="white"/>
          <w:rtl w:val="0"/>
        </w:rPr>
        <w:t xml:space="preserve">, vol. 25, no. 1, pp. 127–147, 2016. doi: 10.1007/s10956-015-9581-5.</w:t>
      </w:r>
    </w:p>
    <w:p w:rsidR="00000000" w:rsidDel="00000000" w:rsidP="00000000" w:rsidRDefault="00000000" w:rsidRPr="00000000" w14:paraId="000000CC">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C. G. B. Morais, F. M. M. Neto, and A. J. M. Osório, "Difficulties and challenges in the learning process of algorithms and programming in higher education: a systematic literature review," </w:t>
      </w:r>
      <w:r w:rsidDel="00000000" w:rsidR="00000000" w:rsidRPr="00000000">
        <w:rPr>
          <w:rFonts w:ascii="Times New Roman" w:cs="Times New Roman" w:eastAsia="Times New Roman" w:hAnsi="Times New Roman"/>
          <w:i w:val="1"/>
          <w:iCs w:val="1"/>
          <w:sz w:val="20"/>
          <w:szCs w:val="20"/>
          <w:highlight w:val="white"/>
          <w:rtl w:val="0"/>
        </w:rPr>
        <w:t xml:space="preserve">Research, Society and Development</w:t>
      </w:r>
      <w:r w:rsidDel="00000000" w:rsidR="00000000" w:rsidRPr="00000000">
        <w:rPr>
          <w:rFonts w:ascii="Times New Roman" w:cs="Times New Roman" w:eastAsia="Times New Roman" w:hAnsi="Times New Roman"/>
          <w:sz w:val="20"/>
          <w:szCs w:val="20"/>
          <w:highlight w:val="white"/>
          <w:rtl w:val="0"/>
        </w:rPr>
        <w:t xml:space="preserve">, vol. 9, no. 10, e9429109287, 2020. doi: 10.33448/rsd-v9i10.9287.</w:t>
      </w:r>
    </w:p>
    <w:p w:rsidR="00000000" w:rsidDel="00000000" w:rsidP="00000000" w:rsidRDefault="00000000" w:rsidRPr="00000000" w14:paraId="000000CD">
      <w:pPr>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[12] B. Kitchenham and S. Charters, "Guidelines for performing systematic literature reviews in software engineering," Technical Report EBSE-2007-01, Keele University and Durham University, 2007.</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F">
      <w:pPr>
        <w:spacing w:after="20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0">
      <w:pPr>
        <w:spacing w:after="200" w:lineRule="auto"/>
        <w:jc w:val="both"/>
        <w:rPr>
          <w:rFonts w:ascii="Times New Roman" w:cs="Times New Roman" w:eastAsia="Times New Roman" w:hAnsi="Times New Roman"/>
          <w:sz w:val="20"/>
          <w:szCs w:val="20"/>
          <w:highlight w:val="white"/>
        </w:rPr>
        <w:sectPr>
          <w:footerReference r:id="rId12" w:type="default"/>
          <w:type w:val="continuous"/>
          <w:pgSz w:h="16834" w:w="11909" w:orient="portrait"/>
          <w:pgMar w:bottom="1440" w:top="1077" w:left="907" w:right="907" w:header="720" w:footer="720"/>
          <w:cols w:equalWidth="0" w:num="2">
            <w:col w:space="720" w:w="4687.5"/>
            <w:col w:space="0" w:w="4687.5"/>
          </w:cols>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sectPr>
          <w:footerReference r:id="rId13" w:type="default"/>
          <w:type w:val="nextPage"/>
          <w:pgSz w:h="16834" w:w="11909" w:orient="portrait"/>
          <w:pgMar w:bottom="1440" w:top="539" w:left="896" w:right="896" w:header="720" w:footer="720"/>
          <w:pgNumType w:start="1"/>
        </w:sectPr>
      </w:pPr>
      <w:bookmarkStart w:colFirst="0" w:colLast="0" w:name="_km8t91b9vczt"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Paper Title* (use style: paper title)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fff" w:val="clea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16"/>
          <w:szCs w:val="16"/>
          <w:rtl w:val="0"/>
        </w:rPr>
        <w:t xml:space="preserve">*Note: Sub-titles are not captured in Xplore and should not be used </w:t>
      </w:r>
      <w:r w:rsidDel="00000000" w:rsidR="00000000" w:rsidRPr="00000000">
        <w:rPr>
          <w:rtl w:val="0"/>
        </w:rPr>
      </w:r>
    </w:p>
    <w:p w:rsidR="00000000" w:rsidDel="00000000" w:rsidP="00000000" w:rsidRDefault="00000000" w:rsidRPr="00000000" w14:paraId="000000D4">
      <w:pPr>
        <w:spacing w:line="302.166" w:lineRule="auto"/>
        <w:jc w:val="center"/>
        <w:rPr>
          <w:rFonts w:ascii="Times New Roman" w:cs="Times New Roman" w:eastAsia="Times New Roman" w:hAnsi="Times New Roman"/>
          <w:sz w:val="18"/>
          <w:szCs w:val="18"/>
          <w:highlight w:val="white"/>
        </w:rPr>
        <w:sectPr>
          <w:footerReference r:id="rId14" w:type="default"/>
          <w:type w:val="nextPage"/>
          <w:pgSz w:h="16834" w:w="11909" w:orient="portrait"/>
          <w:pgMar w:bottom="1440" w:top="539" w:left="896" w:right="896" w:header="720" w:footer="720"/>
          <w:pgNumType w:start="1"/>
        </w:sectPr>
      </w:pPr>
      <w:r w:rsidDel="00000000" w:rsidR="00000000" w:rsidRPr="00000000">
        <w:rPr>
          <w:rtl w:val="0"/>
        </w:rPr>
      </w:r>
    </w:p>
    <w:p w:rsidR="00000000" w:rsidDel="00000000" w:rsidP="00000000" w:rsidRDefault="00000000" w:rsidRPr="00000000" w14:paraId="000000D5">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1: 1</w:t>
      </w:r>
      <w:r w:rsidDel="00000000" w:rsidR="00000000" w:rsidRPr="00000000">
        <w:rPr>
          <w:rFonts w:ascii="Times New Roman" w:cs="Times New Roman" w:eastAsia="Times New Roman" w:hAnsi="Times New Roman"/>
          <w:sz w:val="24"/>
          <w:szCs w:val="24"/>
          <w:highlight w:val="white"/>
          <w:vertAlign w:val="superscript"/>
          <w:rtl w:val="0"/>
        </w:rPr>
        <w:t xml:space="preserve">st</w:t>
      </w:r>
      <w:r w:rsidDel="00000000" w:rsidR="00000000" w:rsidRPr="00000000">
        <w:rPr>
          <w:rFonts w:ascii="Times New Roman" w:cs="Times New Roman" w:eastAsia="Times New Roman" w:hAnsi="Times New Roman"/>
          <w:sz w:val="18"/>
          <w:szCs w:val="18"/>
          <w:highlight w:val="white"/>
          <w:rtl w:val="0"/>
        </w:rPr>
        <w:t xml:space="preserve"> Given Name Surname  </w:t>
      </w:r>
    </w:p>
    <w:p w:rsidR="00000000" w:rsidDel="00000000" w:rsidP="00000000" w:rsidRDefault="00000000" w:rsidRPr="00000000" w14:paraId="000000D6">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2: </w:t>
      </w:r>
      <w:r w:rsidDel="00000000" w:rsidR="00000000" w:rsidRPr="00000000">
        <w:rPr>
          <w:rFonts w:ascii="Times New Roman" w:cs="Times New Roman" w:eastAsia="Times New Roman" w:hAnsi="Times New Roman"/>
          <w:i w:val="1"/>
          <w:iCs w:val="1"/>
          <w:sz w:val="18"/>
          <w:szCs w:val="18"/>
          <w:highlight w:val="white"/>
          <w:rtl w:val="0"/>
        </w:rPr>
        <w:t xml:space="preserve">dept. name of organization </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D7">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(of Affiliation)</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D8">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3: </w:t>
      </w:r>
      <w:r w:rsidDel="00000000" w:rsidR="00000000" w:rsidRPr="00000000">
        <w:rPr>
          <w:rFonts w:ascii="Times New Roman" w:cs="Times New Roman" w:eastAsia="Times New Roman" w:hAnsi="Times New Roman"/>
          <w:i w:val="1"/>
          <w:iCs w:val="1"/>
          <w:sz w:val="18"/>
          <w:szCs w:val="18"/>
          <w:highlight w:val="white"/>
          <w:rtl w:val="0"/>
        </w:rPr>
        <w:t xml:space="preserve">name of organization </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D9">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(of Affiliation)</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DA">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4: City, Country </w:t>
      </w:r>
    </w:p>
    <w:p w:rsidR="00000000" w:rsidDel="00000000" w:rsidP="00000000" w:rsidRDefault="00000000" w:rsidRPr="00000000" w14:paraId="000000DB">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5: email address or ORCID </w:t>
      </w:r>
    </w:p>
    <w:p w:rsidR="00000000" w:rsidDel="00000000" w:rsidP="00000000" w:rsidRDefault="00000000" w:rsidRPr="00000000" w14:paraId="000000DC">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1: 2</w:t>
      </w:r>
      <w:r w:rsidDel="00000000" w:rsidR="00000000" w:rsidRPr="00000000">
        <w:rPr>
          <w:rFonts w:ascii="Times New Roman" w:cs="Times New Roman" w:eastAsia="Times New Roman" w:hAnsi="Times New Roman"/>
          <w:sz w:val="24"/>
          <w:szCs w:val="24"/>
          <w:highlight w:val="white"/>
          <w:vertAlign w:val="superscript"/>
          <w:rtl w:val="0"/>
        </w:rPr>
        <w:t xml:space="preserve">nd</w:t>
      </w:r>
      <w:r w:rsidDel="00000000" w:rsidR="00000000" w:rsidRPr="00000000">
        <w:rPr>
          <w:rFonts w:ascii="Times New Roman" w:cs="Times New Roman" w:eastAsia="Times New Roman" w:hAnsi="Times New Roman"/>
          <w:sz w:val="18"/>
          <w:szCs w:val="18"/>
          <w:highlight w:val="white"/>
          <w:rtl w:val="0"/>
        </w:rPr>
        <w:t xml:space="preserve"> Given Name Surname </w:t>
      </w:r>
    </w:p>
    <w:p w:rsidR="00000000" w:rsidDel="00000000" w:rsidP="00000000" w:rsidRDefault="00000000" w:rsidRPr="00000000" w14:paraId="000000DD">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2: </w:t>
      </w:r>
      <w:r w:rsidDel="00000000" w:rsidR="00000000" w:rsidRPr="00000000">
        <w:rPr>
          <w:rFonts w:ascii="Times New Roman" w:cs="Times New Roman" w:eastAsia="Times New Roman" w:hAnsi="Times New Roman"/>
          <w:i w:val="1"/>
          <w:iCs w:val="1"/>
          <w:sz w:val="18"/>
          <w:szCs w:val="18"/>
          <w:highlight w:val="white"/>
          <w:rtl w:val="0"/>
        </w:rPr>
        <w:t xml:space="preserve">dept. name of organization </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DE">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(of Affiliation)</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DF">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3: </w:t>
      </w:r>
      <w:r w:rsidDel="00000000" w:rsidR="00000000" w:rsidRPr="00000000">
        <w:rPr>
          <w:rFonts w:ascii="Times New Roman" w:cs="Times New Roman" w:eastAsia="Times New Roman" w:hAnsi="Times New Roman"/>
          <w:i w:val="1"/>
          <w:iCs w:val="1"/>
          <w:sz w:val="18"/>
          <w:szCs w:val="18"/>
          <w:highlight w:val="white"/>
          <w:rtl w:val="0"/>
        </w:rPr>
        <w:t xml:space="preserve">name of organization </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0">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(of Affiliation)</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1">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4: City, Country </w:t>
      </w:r>
    </w:p>
    <w:p w:rsidR="00000000" w:rsidDel="00000000" w:rsidP="00000000" w:rsidRDefault="00000000" w:rsidRPr="00000000" w14:paraId="000000E2">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5: email address or ORCID </w:t>
      </w:r>
    </w:p>
    <w:p w:rsidR="00000000" w:rsidDel="00000000" w:rsidP="00000000" w:rsidRDefault="00000000" w:rsidRPr="00000000" w14:paraId="000000E3">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1: 3</w:t>
      </w:r>
      <w:r w:rsidDel="00000000" w:rsidR="00000000" w:rsidRPr="00000000">
        <w:rPr>
          <w:rFonts w:ascii="Times New Roman" w:cs="Times New Roman" w:eastAsia="Times New Roman" w:hAnsi="Times New Roman"/>
          <w:sz w:val="24"/>
          <w:szCs w:val="24"/>
          <w:highlight w:val="white"/>
          <w:vertAlign w:val="superscript"/>
          <w:rtl w:val="0"/>
        </w:rPr>
        <w:t xml:space="preserve">rd</w:t>
      </w:r>
      <w:r w:rsidDel="00000000" w:rsidR="00000000" w:rsidRPr="00000000">
        <w:rPr>
          <w:rFonts w:ascii="Times New Roman" w:cs="Times New Roman" w:eastAsia="Times New Roman" w:hAnsi="Times New Roman"/>
          <w:sz w:val="18"/>
          <w:szCs w:val="18"/>
          <w:highlight w:val="white"/>
          <w:rtl w:val="0"/>
        </w:rPr>
        <w:t xml:space="preserve"> Given Name Surname </w:t>
      </w:r>
    </w:p>
    <w:p w:rsidR="00000000" w:rsidDel="00000000" w:rsidP="00000000" w:rsidRDefault="00000000" w:rsidRPr="00000000" w14:paraId="000000E4">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2: </w:t>
      </w:r>
      <w:r w:rsidDel="00000000" w:rsidR="00000000" w:rsidRPr="00000000">
        <w:rPr>
          <w:rFonts w:ascii="Times New Roman" w:cs="Times New Roman" w:eastAsia="Times New Roman" w:hAnsi="Times New Roman"/>
          <w:i w:val="1"/>
          <w:iCs w:val="1"/>
          <w:sz w:val="18"/>
          <w:szCs w:val="18"/>
          <w:highlight w:val="white"/>
          <w:rtl w:val="0"/>
        </w:rPr>
        <w:t xml:space="preserve">dept. name of organization </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5">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(of Affiliation)</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6">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3: </w:t>
      </w:r>
      <w:r w:rsidDel="00000000" w:rsidR="00000000" w:rsidRPr="00000000">
        <w:rPr>
          <w:rFonts w:ascii="Times New Roman" w:cs="Times New Roman" w:eastAsia="Times New Roman" w:hAnsi="Times New Roman"/>
          <w:i w:val="1"/>
          <w:iCs w:val="1"/>
          <w:sz w:val="18"/>
          <w:szCs w:val="18"/>
          <w:highlight w:val="white"/>
          <w:rtl w:val="0"/>
        </w:rPr>
        <w:t xml:space="preserve">name of organization </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7">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i w:val="1"/>
          <w:iCs w:val="1"/>
          <w:sz w:val="18"/>
          <w:szCs w:val="18"/>
          <w:highlight w:val="white"/>
          <w:rtl w:val="0"/>
        </w:rPr>
        <w:t xml:space="preserve">(of Affiliation)</w:t>
      </w: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8">
      <w:pPr>
        <w:spacing w:line="302.166"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line 4: City, Country </w:t>
      </w:r>
    </w:p>
    <w:p w:rsidR="00000000" w:rsidDel="00000000" w:rsidP="00000000" w:rsidRDefault="00000000" w:rsidRPr="00000000" w14:paraId="000000E9">
      <w:pPr>
        <w:spacing w:line="302.166" w:lineRule="auto"/>
        <w:jc w:val="center"/>
        <w:rPr>
          <w:rFonts w:ascii="Times New Roman" w:cs="Times New Roman" w:eastAsia="Times New Roman" w:hAnsi="Times New Roman"/>
          <w:sz w:val="48"/>
          <w:szCs w:val="48"/>
        </w:rPr>
        <w:sectPr>
          <w:footerReference r:id="rId15" w:type="default"/>
          <w:type w:val="continuous"/>
          <w:pgSz w:h="16834" w:w="11909" w:orient="portrait"/>
          <w:pgMar w:bottom="1440" w:top="1440" w:left="1440" w:right="1440" w:header="720" w:footer="720"/>
          <w:cols w:equalWidth="0" w:num="3">
            <w:col w:space="720" w:w="2528.5"/>
            <w:col w:space="720" w:w="2528.5"/>
            <w:col w:space="0" w:w="2528.5"/>
          </w:cols>
        </w:sectPr>
      </w:pPr>
      <w:r w:rsidDel="00000000" w:rsidR="00000000" w:rsidRPr="00000000">
        <w:rPr>
          <w:rFonts w:ascii="Times New Roman" w:cs="Times New Roman" w:eastAsia="Times New Roman" w:hAnsi="Times New Roman"/>
          <w:sz w:val="18"/>
          <w:szCs w:val="18"/>
          <w:highlight w:val="white"/>
          <w:rtl w:val="0"/>
        </w:rPr>
        <w:t xml:space="preserve">line 5: email address or ORCID</w:t>
      </w:r>
      <w:r w:rsidDel="00000000" w:rsidR="00000000" w:rsidRPr="00000000">
        <w:rPr>
          <w:rtl w:val="0"/>
        </w:rPr>
      </w:r>
    </w:p>
    <w:p w:rsidR="00000000" w:rsidDel="00000000" w:rsidP="00000000" w:rsidRDefault="00000000" w:rsidRPr="00000000" w14:paraId="000000EA">
      <w:pPr>
        <w:spacing w:line="302" w:lineRule="auto"/>
        <w:jc w:val="center"/>
        <w:rPr>
          <w:rFonts w:ascii="Times New Roman" w:cs="Times New Roman" w:eastAsia="Times New Roman" w:hAnsi="Times New Roman"/>
          <w:sz w:val="18"/>
          <w:szCs w:val="18"/>
          <w:highlight w:val="white"/>
        </w:rPr>
        <w:sectPr>
          <w:footerReference r:id="rId16" w:type="default"/>
          <w:type w:val="continuous"/>
          <w:pgSz w:h="16834" w:w="11909" w:orient="portrait"/>
          <w:pgMar w:bottom="1440" w:top="448" w:left="896" w:right="896" w:header="720" w:footer="720"/>
          <w:cols w:equalWidth="0" w:num="3">
            <w:col w:space="720" w:w="2892.333333333334"/>
            <w:col w:space="720" w:w="2892.333333333334"/>
            <w:col w:space="0" w:w="2892.333333333334"/>
          </w:cols>
        </w:sectPr>
      </w:pPr>
      <w:r w:rsidDel="00000000" w:rsidR="00000000" w:rsidRPr="00000000">
        <w:rPr>
          <w:rtl w:val="0"/>
        </w:rPr>
      </w:r>
    </w:p>
    <w:p w:rsidR="00000000" w:rsidDel="00000000" w:rsidP="00000000" w:rsidRDefault="00000000" w:rsidRPr="00000000" w14:paraId="000000EB">
      <w:pPr>
        <w:spacing w:line="302" w:lineRule="auto"/>
        <w:jc w:val="center"/>
        <w:rPr>
          <w:rFonts w:ascii="Times New Roman" w:cs="Times New Roman" w:eastAsia="Times New Roman" w:hAnsi="Times New Roman"/>
          <w:sz w:val="18"/>
          <w:szCs w:val="18"/>
          <w:highlight w:val="white"/>
        </w:rPr>
        <w:sectPr>
          <w:footerReference r:id="rId17" w:type="default"/>
          <w:type w:val="continuous"/>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18"/>
          <w:szCs w:val="18"/>
          <w:highlight w:val="white"/>
          <w:rtl w:val="0"/>
        </w:rPr>
        <w:t xml:space="preserve"> </w:t>
      </w:r>
    </w:p>
    <w:p w:rsidR="00000000" w:rsidDel="00000000" w:rsidP="00000000" w:rsidRDefault="00000000" w:rsidRPr="00000000" w14:paraId="000000EC">
      <w:pPr>
        <w:shd w:fill="ffffff" w:val="clear"/>
        <w:spacing w:after="120" w:line="302" w:lineRule="auto"/>
        <w:ind w:firstLine="280"/>
        <w:jc w:val="both"/>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Abstract</w:t>
      </w:r>
      <w:r w:rsidDel="00000000" w:rsidR="00000000" w:rsidRPr="00000000">
        <w:rPr>
          <w:rFonts w:ascii="Times New Roman" w:cs="Times New Roman" w:eastAsia="Times New Roman" w:hAnsi="Times New Roman"/>
          <w:b w:val="1"/>
          <w:bCs w:val="1"/>
          <w:sz w:val="18"/>
          <w:szCs w:val="18"/>
          <w:highlight w:val="white"/>
          <w:rtl w:val="0"/>
        </w:rPr>
        <w:t xml:space="preserve">—This electronic document is a “live” template and already defines the components of your paper [title, text, heads, etc.] in its style sheet.  </w:t>
      </w:r>
      <w:r w:rsidDel="00000000" w:rsidR="00000000" w:rsidRPr="00000000">
        <w:rPr>
          <w:rFonts w:ascii="Times New Roman" w:cs="Times New Roman" w:eastAsia="Times New Roman" w:hAnsi="Times New Roman"/>
          <w:b w:val="1"/>
          <w:bCs w:val="1"/>
          <w:i w:val="1"/>
          <w:iCs w:val="1"/>
          <w:sz w:val="18"/>
          <w:szCs w:val="18"/>
          <w:highlight w:val="white"/>
          <w:rtl w:val="0"/>
        </w:rPr>
        <w:t xml:space="preserve">*CRITICAL:  Do Not Use Symbols, Special Characters, Footnotes, or Math in Paper Title or Abstract</w:t>
      </w:r>
      <w:r w:rsidDel="00000000" w:rsidR="00000000" w:rsidRPr="00000000">
        <w:rPr>
          <w:rFonts w:ascii="Times New Roman" w:cs="Times New Roman" w:eastAsia="Times New Roman" w:hAnsi="Times New Roman"/>
          <w:b w:val="1"/>
          <w:bCs w:val="1"/>
          <w:sz w:val="18"/>
          <w:szCs w:val="18"/>
          <w:highlight w:val="white"/>
          <w:rtl w:val="0"/>
        </w:rPr>
        <w:t xml:space="preserve">. (</w:t>
      </w:r>
      <w:r w:rsidDel="00000000" w:rsidR="00000000" w:rsidRPr="00000000">
        <w:rPr>
          <w:rFonts w:ascii="Times New Roman" w:cs="Times New Roman" w:eastAsia="Times New Roman" w:hAnsi="Times New Roman"/>
          <w:i w:val="1"/>
          <w:iCs w:val="1"/>
          <w:sz w:val="18"/>
          <w:szCs w:val="18"/>
          <w:highlight w:val="white"/>
          <w:rtl w:val="0"/>
        </w:rPr>
        <w:t xml:space="preserve">Abstract</w:t>
      </w:r>
      <w:r w:rsidDel="00000000" w:rsidR="00000000" w:rsidRPr="00000000">
        <w:rPr>
          <w:rFonts w:ascii="Times New Roman" w:cs="Times New Roman" w:eastAsia="Times New Roman" w:hAnsi="Times New Roman"/>
          <w:b w:val="1"/>
          <w:bCs w:val="1"/>
          <w:sz w:val="18"/>
          <w:szCs w:val="18"/>
          <w:highlight w:val="white"/>
          <w:rtl w:val="0"/>
        </w:rPr>
        <w:t xml:space="preserve">) </w:t>
      </w:r>
    </w:p>
    <w:p w:rsidR="00000000" w:rsidDel="00000000" w:rsidP="00000000" w:rsidRDefault="00000000" w:rsidRPr="00000000" w14:paraId="000000ED">
      <w:pPr>
        <w:shd w:fill="ffffff" w:val="clear"/>
        <w:spacing w:after="120" w:line="302" w:lineRule="auto"/>
        <w:ind w:firstLine="280"/>
        <w:jc w:val="both"/>
        <w:rPr>
          <w:rFonts w:ascii="Times New Roman" w:cs="Times New Roman" w:eastAsia="Times New Roman" w:hAnsi="Times New Roman"/>
          <w:b w:val="1"/>
          <w:bCs w:val="1"/>
          <w:i w:val="1"/>
          <w:iCs w:val="1"/>
          <w:sz w:val="18"/>
          <w:szCs w:val="18"/>
          <w:highlight w:val="white"/>
        </w:rPr>
      </w:pPr>
      <w:r w:rsidDel="00000000" w:rsidR="00000000" w:rsidRPr="00000000">
        <w:rPr>
          <w:rFonts w:ascii="Times New Roman" w:cs="Times New Roman" w:eastAsia="Times New Roman" w:hAnsi="Times New Roman"/>
          <w:b w:val="1"/>
          <w:bCs w:val="1"/>
          <w:i w:val="1"/>
          <w:iCs w:val="1"/>
          <w:sz w:val="18"/>
          <w:szCs w:val="18"/>
          <w:highlight w:val="white"/>
          <w:rtl w:val="0"/>
        </w:rPr>
        <w:t xml:space="preserve">Keywords—component, formatting, style, styling, insert (</w:t>
      </w:r>
      <w:r w:rsidDel="00000000" w:rsidR="00000000" w:rsidRPr="00000000">
        <w:rPr>
          <w:rFonts w:ascii="Times New Roman" w:cs="Times New Roman" w:eastAsia="Times New Roman" w:hAnsi="Times New Roman"/>
          <w:i w:val="1"/>
          <w:iCs w:val="1"/>
          <w:sz w:val="18"/>
          <w:szCs w:val="18"/>
          <w:highlight w:val="white"/>
          <w:rtl w:val="0"/>
        </w:rPr>
        <w:t xml:space="preserve">key words</w:t>
      </w:r>
      <w:r w:rsidDel="00000000" w:rsidR="00000000" w:rsidRPr="00000000">
        <w:rPr>
          <w:rFonts w:ascii="Times New Roman" w:cs="Times New Roman" w:eastAsia="Times New Roman" w:hAnsi="Times New Roman"/>
          <w:b w:val="1"/>
          <w:bCs w:val="1"/>
          <w:i w:val="1"/>
          <w:iCs w:val="1"/>
          <w:sz w:val="18"/>
          <w:szCs w:val="18"/>
          <w:highlight w:val="white"/>
          <w:rtl w:val="0"/>
        </w:rPr>
        <w:t xml:space="preserve">) </w:t>
      </w:r>
    </w:p>
    <w:p w:rsidR="00000000" w:rsidDel="00000000" w:rsidP="00000000" w:rsidRDefault="00000000" w:rsidRPr="00000000" w14:paraId="000000EE">
      <w:pPr>
        <w:pStyle w:val="Heading1"/>
        <w:numPr>
          <w:ilvl w:val="0"/>
          <w:numId w:val="5"/>
        </w:numPr>
        <w:rPr>
          <w:rFonts w:ascii="Arial" w:cs="Arial" w:eastAsia="Arial" w:hAnsi="Arial"/>
          <w:smallCaps w:val="1"/>
          <w:highlight w:val="white"/>
        </w:rPr>
      </w:pPr>
      <w:bookmarkStart w:colFirst="0" w:colLast="0" w:name="_mfvj1m21by52" w:id="17"/>
      <w:bookmarkEnd w:id="17"/>
      <w:r w:rsidDel="00000000" w:rsidR="00000000" w:rsidRPr="00000000">
        <w:rPr>
          <w:rtl w:val="0"/>
        </w:rPr>
        <w:t xml:space="preserve">Introduction (</w:t>
      </w:r>
      <w:r w:rsidDel="00000000" w:rsidR="00000000" w:rsidRPr="00000000">
        <w:rPr>
          <w:i w:val="1"/>
          <w:iCs w:val="1"/>
          <w:rtl w:val="0"/>
        </w:rPr>
        <w:t xml:space="preserve">Heading 1</w:t>
      </w:r>
      <w:r w:rsidDel="00000000" w:rsidR="00000000" w:rsidRPr="00000000">
        <w:rPr>
          <w:rtl w:val="0"/>
        </w:rPr>
        <w:t xml:space="preserve">) </w:t>
      </w:r>
    </w:p>
    <w:p w:rsidR="00000000" w:rsidDel="00000000" w:rsidP="00000000" w:rsidRDefault="00000000" w:rsidRPr="00000000" w14:paraId="000000EF">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 </w:t>
      </w:r>
    </w:p>
    <w:p w:rsidR="00000000" w:rsidDel="00000000" w:rsidP="00000000" w:rsidRDefault="00000000" w:rsidRPr="00000000" w14:paraId="000000F0">
      <w:pPr>
        <w:numPr>
          <w:ilvl w:val="0"/>
          <w:numId w:val="35"/>
        </w:numPr>
        <w:spacing w:after="120" w:line="302" w:lineRule="auto"/>
        <w:ind w:left="720" w:hanging="360"/>
        <w:jc w:val="both"/>
        <w:rPr>
          <w:rFonts w:ascii="Arial" w:cs="Arial" w:eastAsia="Arial" w:hAnsi="Arial"/>
          <w:highlight w:val="white"/>
        </w:rPr>
      </w:pPr>
      <w:r w:rsidDel="00000000" w:rsidR="00000000" w:rsidRPr="00000000">
        <w:rPr>
          <w:rFonts w:ascii="Times New Roman" w:cs="Times New Roman" w:eastAsia="Times New Roman" w:hAnsi="Times New Roman"/>
          <w:smallCaps w:val="1"/>
          <w:sz w:val="20"/>
          <w:szCs w:val="20"/>
          <w:highlight w:val="white"/>
          <w:rtl w:val="0"/>
        </w:rPr>
        <w:t xml:space="preserve">Ease of Use </w:t>
      </w:r>
      <w:r w:rsidDel="00000000" w:rsidR="00000000" w:rsidRPr="00000000">
        <w:rPr>
          <w:rtl w:val="0"/>
        </w:rPr>
      </w:r>
    </w:p>
    <w:p w:rsidR="00000000" w:rsidDel="00000000" w:rsidP="00000000" w:rsidRDefault="00000000" w:rsidRPr="00000000" w14:paraId="000000F1">
      <w:pPr>
        <w:pStyle w:val="Heading2"/>
        <w:numPr>
          <w:ilvl w:val="0"/>
          <w:numId w:val="13"/>
        </w:numPr>
        <w:rPr>
          <w:highlight w:val="white"/>
        </w:rPr>
      </w:pPr>
      <w:bookmarkStart w:colFirst="0" w:colLast="0" w:name="_5hso6d2rtdir" w:id="18"/>
      <w:bookmarkEnd w:id="18"/>
      <w:r w:rsidDel="00000000" w:rsidR="00000000" w:rsidRPr="00000000">
        <w:rPr>
          <w:rtl w:val="0"/>
        </w:rPr>
        <w:t xml:space="preserve">Selecting a Template (Heading 2) </w:t>
      </w:r>
    </w:p>
    <w:p w:rsidR="00000000" w:rsidDel="00000000" w:rsidP="00000000" w:rsidRDefault="00000000" w:rsidRPr="00000000" w14:paraId="000000F2">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First, confirm that you have the correct template for your paper size. This template has been tailored for output on the A4 paper size. If you are using US letter-sized paper, please close this file and download the Microsoft Word, Letter file. </w:t>
      </w:r>
    </w:p>
    <w:p w:rsidR="00000000" w:rsidDel="00000000" w:rsidP="00000000" w:rsidRDefault="00000000" w:rsidRPr="00000000" w14:paraId="000000F3">
      <w:pPr>
        <w:numPr>
          <w:ilvl w:val="0"/>
          <w:numId w:val="6"/>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Maintaining the Integrity of the Specifications </w:t>
      </w:r>
      <w:r w:rsidDel="00000000" w:rsidR="00000000" w:rsidRPr="00000000">
        <w:rPr>
          <w:rtl w:val="0"/>
        </w:rPr>
      </w:r>
    </w:p>
    <w:p w:rsidR="00000000" w:rsidDel="00000000" w:rsidP="00000000" w:rsidRDefault="00000000" w:rsidRPr="00000000" w14:paraId="000000F4">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 </w:t>
      </w:r>
    </w:p>
    <w:p w:rsidR="00000000" w:rsidDel="00000000" w:rsidP="00000000" w:rsidRDefault="00000000" w:rsidRPr="00000000" w14:paraId="000000F5">
      <w:pPr>
        <w:numPr>
          <w:ilvl w:val="0"/>
          <w:numId w:val="23"/>
        </w:numPr>
        <w:spacing w:after="120" w:line="302" w:lineRule="auto"/>
        <w:ind w:left="720" w:hanging="360"/>
        <w:jc w:val="both"/>
        <w:rPr>
          <w:rFonts w:ascii="Arial" w:cs="Arial" w:eastAsia="Arial" w:hAnsi="Arial"/>
          <w:highlight w:val="white"/>
        </w:rPr>
      </w:pPr>
      <w:r w:rsidDel="00000000" w:rsidR="00000000" w:rsidRPr="00000000">
        <w:rPr>
          <w:rFonts w:ascii="Times New Roman" w:cs="Times New Roman" w:eastAsia="Times New Roman" w:hAnsi="Times New Roman"/>
          <w:smallCaps w:val="1"/>
          <w:sz w:val="20"/>
          <w:szCs w:val="20"/>
          <w:highlight w:val="white"/>
          <w:rtl w:val="0"/>
        </w:rPr>
        <w:t xml:space="preserve">Prepare Your Paper Before Styling </w:t>
      </w:r>
      <w:r w:rsidDel="00000000" w:rsidR="00000000" w:rsidRPr="00000000">
        <w:rPr>
          <w:rtl w:val="0"/>
        </w:rPr>
      </w:r>
    </w:p>
    <w:p w:rsidR="00000000" w:rsidDel="00000000" w:rsidP="00000000" w:rsidRDefault="00000000" w:rsidRPr="00000000" w14:paraId="000000F6">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Before you begin to format your paper, first write and save the content as a separate text file. Complete all content and organizational editing before formatting. Please note sections A-D below for more information on proofreading, spelling and grammar. </w:t>
      </w:r>
    </w:p>
    <w:p w:rsidR="00000000" w:rsidDel="00000000" w:rsidP="00000000" w:rsidRDefault="00000000" w:rsidRPr="00000000" w14:paraId="000000F7">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 </w:t>
      </w:r>
    </w:p>
    <w:p w:rsidR="00000000" w:rsidDel="00000000" w:rsidP="00000000" w:rsidRDefault="00000000" w:rsidRPr="00000000" w14:paraId="000000F8">
      <w:pPr>
        <w:numPr>
          <w:ilvl w:val="0"/>
          <w:numId w:val="16"/>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Abbreviations and Acronyms </w:t>
      </w:r>
      <w:r w:rsidDel="00000000" w:rsidR="00000000" w:rsidRPr="00000000">
        <w:rPr>
          <w:rtl w:val="0"/>
        </w:rPr>
      </w:r>
    </w:p>
    <w:p w:rsidR="00000000" w:rsidDel="00000000" w:rsidP="00000000" w:rsidRDefault="00000000" w:rsidRPr="00000000" w14:paraId="000000F9">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 </w:t>
      </w:r>
    </w:p>
    <w:p w:rsidR="00000000" w:rsidDel="00000000" w:rsidP="00000000" w:rsidRDefault="00000000" w:rsidRPr="00000000" w14:paraId="000000FA">
      <w:pPr>
        <w:numPr>
          <w:ilvl w:val="0"/>
          <w:numId w:val="24"/>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Units </w:t>
      </w:r>
      <w:r w:rsidDel="00000000" w:rsidR="00000000" w:rsidRPr="00000000">
        <w:rPr>
          <w:rtl w:val="0"/>
        </w:rPr>
      </w:r>
    </w:p>
    <w:p w:rsidR="00000000" w:rsidDel="00000000" w:rsidP="00000000" w:rsidRDefault="00000000" w:rsidRPr="00000000" w14:paraId="000000FB">
      <w:pPr>
        <w:numPr>
          <w:ilvl w:val="0"/>
          <w:numId w:val="33"/>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Use either SI (MKS) or CGS as primary units. (SI units are encouraged.) English units may be used as secondary units (in parentheses). An exception would be the use of English units as identifiers in trade, such as “3.5-inch disk drive”. </w:t>
      </w:r>
      <w:r w:rsidDel="00000000" w:rsidR="00000000" w:rsidRPr="00000000">
        <w:rPr>
          <w:rtl w:val="0"/>
        </w:rPr>
      </w:r>
    </w:p>
    <w:p w:rsidR="00000000" w:rsidDel="00000000" w:rsidP="00000000" w:rsidRDefault="00000000" w:rsidRPr="00000000" w14:paraId="000000FC">
      <w:pPr>
        <w:numPr>
          <w:ilvl w:val="0"/>
          <w:numId w:val="31"/>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 </w:t>
      </w:r>
      <w:r w:rsidDel="00000000" w:rsidR="00000000" w:rsidRPr="00000000">
        <w:rPr>
          <w:rtl w:val="0"/>
        </w:rPr>
      </w:r>
    </w:p>
    <w:p w:rsidR="00000000" w:rsidDel="00000000" w:rsidP="00000000" w:rsidRDefault="00000000" w:rsidRPr="00000000" w14:paraId="000000FD">
      <w:pPr>
        <w:numPr>
          <w:ilvl w:val="0"/>
          <w:numId w:val="36"/>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Do not mix complete spellings and abbreviations of units: “Wb/m2” or “webers per square meter”, not “webers/m2”.  Spell out units when they appear in text: “. . . a few henries”, not “. . . a few H”. </w:t>
      </w:r>
      <w:r w:rsidDel="00000000" w:rsidR="00000000" w:rsidRPr="00000000">
        <w:rPr>
          <w:rtl w:val="0"/>
        </w:rPr>
      </w:r>
    </w:p>
    <w:p w:rsidR="00000000" w:rsidDel="00000000" w:rsidP="00000000" w:rsidRDefault="00000000" w:rsidRPr="00000000" w14:paraId="000000FE">
      <w:pPr>
        <w:pBdr>
          <w:top w:color="000000" w:space="2" w:sz="5" w:val="single"/>
        </w:pBdr>
        <w:shd w:fill="ffffff" w:val="clear"/>
        <w:spacing w:after="120" w:before="4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Identify applicable funding agency here. If none, delete this text box. </w:t>
      </w:r>
    </w:p>
    <w:p w:rsidR="00000000" w:rsidDel="00000000" w:rsidP="00000000" w:rsidRDefault="00000000" w:rsidRPr="00000000" w14:paraId="000000FF">
      <w:pPr>
        <w:numPr>
          <w:ilvl w:val="0"/>
          <w:numId w:val="28"/>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Use a zero before decimal points: “0.25”, not “.25”. Use “cm3”, not “cc”. (</w:t>
      </w:r>
      <w:r w:rsidDel="00000000" w:rsidR="00000000" w:rsidRPr="00000000">
        <w:rPr>
          <w:rFonts w:ascii="Times New Roman" w:cs="Times New Roman" w:eastAsia="Times New Roman" w:hAnsi="Times New Roman"/>
          <w:i w:val="1"/>
          <w:iCs w:val="1"/>
          <w:sz w:val="20"/>
          <w:szCs w:val="20"/>
          <w:highlight w:val="white"/>
          <w:rtl w:val="0"/>
        </w:rPr>
        <w:t xml:space="preserve">bullet list</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tl w:val="0"/>
        </w:rPr>
      </w:r>
    </w:p>
    <w:p w:rsidR="00000000" w:rsidDel="00000000" w:rsidP="00000000" w:rsidRDefault="00000000" w:rsidRPr="00000000" w14:paraId="00000100">
      <w:pPr>
        <w:numPr>
          <w:ilvl w:val="0"/>
          <w:numId w:val="38"/>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Equations </w:t>
      </w:r>
      <w:r w:rsidDel="00000000" w:rsidR="00000000" w:rsidRPr="00000000">
        <w:rPr>
          <w:rtl w:val="0"/>
        </w:rPr>
      </w:r>
    </w:p>
    <w:p w:rsidR="00000000" w:rsidDel="00000000" w:rsidP="00000000" w:rsidRDefault="00000000" w:rsidRPr="00000000" w14:paraId="00000101">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 </w:t>
      </w:r>
    </w:p>
    <w:p w:rsidR="00000000" w:rsidDel="00000000" w:rsidP="00000000" w:rsidRDefault="00000000" w:rsidRPr="00000000" w14:paraId="00000102">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 </w:t>
      </w:r>
    </w:p>
    <w:p w:rsidR="00000000" w:rsidDel="00000000" w:rsidP="00000000" w:rsidRDefault="00000000" w:rsidRPr="00000000" w14:paraId="00000103">
      <w:pPr>
        <w:shd w:fill="ffffff" w:val="clear"/>
        <w:spacing w:after="120" w:before="240" w:line="302" w:lineRule="auto"/>
        <w:ind w:firstLine="2520"/>
        <w:jc w:val="both"/>
        <w:rPr>
          <w:sz w:val="20"/>
          <w:szCs w:val="20"/>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ab</w:t>
      </w:r>
      <w:r w:rsidDel="00000000" w:rsidR="00000000" w:rsidRPr="00000000">
        <w:rPr>
          <w:rtl w:val="0"/>
        </w:rPr>
        <w:tab/>
      </w:r>
      <w:r w:rsidDel="00000000" w:rsidR="00000000" w:rsidRPr="00000000">
        <w:rPr>
          <w:sz w:val="20"/>
          <w:szCs w:val="20"/>
          <w:highlight w:val="white"/>
          <w:rtl w:val="0"/>
        </w:rPr>
        <w:t xml:space="preserve"> </w:t>
      </w:r>
    </w:p>
    <w:p w:rsidR="00000000" w:rsidDel="00000000" w:rsidP="00000000" w:rsidRDefault="00000000" w:rsidRPr="00000000" w14:paraId="00000104">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Note that the equation is centered using a center tab stop. Be sure that the symbols in your equation have been defined before or immediately following the equation. Use “(1)”, not “Eq. (1)” or “equation (1)”, except at the beginning of a sentence: “Equation (1) is . . .” </w:t>
      </w:r>
    </w:p>
    <w:p w:rsidR="00000000" w:rsidDel="00000000" w:rsidP="00000000" w:rsidRDefault="00000000" w:rsidRPr="00000000" w14:paraId="00000105">
      <w:pPr>
        <w:numPr>
          <w:ilvl w:val="0"/>
          <w:numId w:val="9"/>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Some Common Mistakes </w:t>
      </w:r>
      <w:r w:rsidDel="00000000" w:rsidR="00000000" w:rsidRPr="00000000">
        <w:rPr>
          <w:rtl w:val="0"/>
        </w:rPr>
      </w:r>
    </w:p>
    <w:p w:rsidR="00000000" w:rsidDel="00000000" w:rsidP="00000000" w:rsidRDefault="00000000" w:rsidRPr="00000000" w14:paraId="00000106">
      <w:pPr>
        <w:numPr>
          <w:ilvl w:val="0"/>
          <w:numId w:val="19"/>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The word “data” is plural, not singular. </w:t>
      </w:r>
      <w:r w:rsidDel="00000000" w:rsidR="00000000" w:rsidRPr="00000000">
        <w:rPr>
          <w:rtl w:val="0"/>
        </w:rPr>
      </w:r>
    </w:p>
    <w:p w:rsidR="00000000" w:rsidDel="00000000" w:rsidP="00000000" w:rsidRDefault="00000000" w:rsidRPr="00000000" w14:paraId="00000107">
      <w:pPr>
        <w:numPr>
          <w:ilvl w:val="0"/>
          <w:numId w:val="7"/>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The subscript for the permeability of vacuum </w:t>
      </w:r>
      <w:r w:rsidDel="00000000" w:rsidR="00000000" w:rsidRPr="00000000">
        <w:rPr>
          <w:rFonts w:ascii="Times New Roman" w:cs="Times New Roman" w:eastAsia="Times New Roman" w:hAnsi="Times New Roman"/>
          <w:sz w:val="26"/>
          <w:szCs w:val="26"/>
          <w:highlight w:val="white"/>
          <w:vertAlign w:val="subscript"/>
          <w:rtl w:val="0"/>
        </w:rPr>
        <w:t xml:space="preserve">0</w:t>
      </w:r>
      <w:r w:rsidDel="00000000" w:rsidR="00000000" w:rsidRPr="00000000">
        <w:rPr>
          <w:rFonts w:ascii="Times New Roman" w:cs="Times New Roman" w:eastAsia="Times New Roman" w:hAnsi="Times New Roman"/>
          <w:sz w:val="20"/>
          <w:szCs w:val="20"/>
          <w:highlight w:val="white"/>
          <w:rtl w:val="0"/>
        </w:rPr>
        <w:t xml:space="preserve">, and other common scientific constants, is zero with subscript formatting, not a lowercase letter “o”. </w:t>
      </w:r>
      <w:r w:rsidDel="00000000" w:rsidR="00000000" w:rsidRPr="00000000">
        <w:rPr>
          <w:rtl w:val="0"/>
        </w:rPr>
      </w:r>
    </w:p>
    <w:p w:rsidR="00000000" w:rsidDel="00000000" w:rsidP="00000000" w:rsidRDefault="00000000" w:rsidRPr="00000000" w14:paraId="00000108">
      <w:pPr>
        <w:numPr>
          <w:ilvl w:val="0"/>
          <w:numId w:val="37"/>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 </w:t>
      </w:r>
      <w:r w:rsidDel="00000000" w:rsidR="00000000" w:rsidRPr="00000000">
        <w:rPr>
          <w:rtl w:val="0"/>
        </w:rPr>
      </w:r>
    </w:p>
    <w:p w:rsidR="00000000" w:rsidDel="00000000" w:rsidP="00000000" w:rsidRDefault="00000000" w:rsidRPr="00000000" w14:paraId="00000109">
      <w:pPr>
        <w:numPr>
          <w:ilvl w:val="0"/>
          <w:numId w:val="18"/>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A graph within a graph is an “inset”, not an “insert”. The word alternatively is preferred to the word “alternately” (unless you really mean something that alternates). </w:t>
      </w:r>
      <w:r w:rsidDel="00000000" w:rsidR="00000000" w:rsidRPr="00000000">
        <w:rPr>
          <w:rtl w:val="0"/>
        </w:rPr>
      </w:r>
    </w:p>
    <w:p w:rsidR="00000000" w:rsidDel="00000000" w:rsidP="00000000" w:rsidRDefault="00000000" w:rsidRPr="00000000" w14:paraId="0000010A">
      <w:pPr>
        <w:numPr>
          <w:ilvl w:val="0"/>
          <w:numId w:val="29"/>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Do not use the word “essentially” to mean “approximately” or “effectively”. </w:t>
      </w:r>
      <w:r w:rsidDel="00000000" w:rsidR="00000000" w:rsidRPr="00000000">
        <w:rPr>
          <w:rtl w:val="0"/>
        </w:rPr>
      </w:r>
    </w:p>
    <w:p w:rsidR="00000000" w:rsidDel="00000000" w:rsidP="00000000" w:rsidRDefault="00000000" w:rsidRPr="00000000" w14:paraId="0000010B">
      <w:pPr>
        <w:numPr>
          <w:ilvl w:val="0"/>
          <w:numId w:val="11"/>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In your paper title, if the words “that uses” can accurately replace the word “using”, capitalize the “u”; if not, keep using lower-cased. </w:t>
      </w:r>
      <w:r w:rsidDel="00000000" w:rsidR="00000000" w:rsidRPr="00000000">
        <w:rPr>
          <w:rtl w:val="0"/>
        </w:rPr>
      </w:r>
    </w:p>
    <w:p w:rsidR="00000000" w:rsidDel="00000000" w:rsidP="00000000" w:rsidRDefault="00000000" w:rsidRPr="00000000" w14:paraId="0000010C">
      <w:pPr>
        <w:numPr>
          <w:ilvl w:val="0"/>
          <w:numId w:val="20"/>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Be aware of the different meanings of the homophones “affect” and “effect”, “complement” and “compliment”, “discreet” and “discrete”, “principal” and “principle”. </w:t>
      </w:r>
      <w:r w:rsidDel="00000000" w:rsidR="00000000" w:rsidRPr="00000000">
        <w:rPr>
          <w:rtl w:val="0"/>
        </w:rPr>
      </w:r>
    </w:p>
    <w:p w:rsidR="00000000" w:rsidDel="00000000" w:rsidP="00000000" w:rsidRDefault="00000000" w:rsidRPr="00000000" w14:paraId="0000010D">
      <w:pPr>
        <w:numPr>
          <w:ilvl w:val="0"/>
          <w:numId w:val="17"/>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Do not confuse “imply” and “infer”. </w:t>
      </w:r>
      <w:r w:rsidDel="00000000" w:rsidR="00000000" w:rsidRPr="00000000">
        <w:rPr>
          <w:rtl w:val="0"/>
        </w:rPr>
      </w:r>
    </w:p>
    <w:p w:rsidR="00000000" w:rsidDel="00000000" w:rsidP="00000000" w:rsidRDefault="00000000" w:rsidRPr="00000000" w14:paraId="0000010E">
      <w:pPr>
        <w:numPr>
          <w:ilvl w:val="0"/>
          <w:numId w:val="27"/>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The prefix “non” is not a word; it should be joined to the word it modifies, usually without a hyphen. </w:t>
      </w:r>
      <w:r w:rsidDel="00000000" w:rsidR="00000000" w:rsidRPr="00000000">
        <w:rPr>
          <w:rtl w:val="0"/>
        </w:rPr>
      </w:r>
    </w:p>
    <w:p w:rsidR="00000000" w:rsidDel="00000000" w:rsidP="00000000" w:rsidRDefault="00000000" w:rsidRPr="00000000" w14:paraId="0000010F">
      <w:pPr>
        <w:numPr>
          <w:ilvl w:val="0"/>
          <w:numId w:val="14"/>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There is no period after the “et” in the Latin abbreviation “et al.”. </w:t>
      </w:r>
      <w:r w:rsidDel="00000000" w:rsidR="00000000" w:rsidRPr="00000000">
        <w:rPr>
          <w:rtl w:val="0"/>
        </w:rPr>
      </w:r>
    </w:p>
    <w:p w:rsidR="00000000" w:rsidDel="00000000" w:rsidP="00000000" w:rsidRDefault="00000000" w:rsidRPr="00000000" w14:paraId="00000110">
      <w:pPr>
        <w:numPr>
          <w:ilvl w:val="0"/>
          <w:numId w:val="26"/>
        </w:numPr>
        <w:spacing w:after="120" w:line="302" w:lineRule="auto"/>
        <w:ind w:left="1000" w:hanging="360"/>
        <w:jc w:val="both"/>
        <w:rPr>
          <w:highlight w:val="white"/>
        </w:rPr>
      </w:pPr>
      <w:r w:rsidDel="00000000" w:rsidR="00000000" w:rsidRPr="00000000">
        <w:rPr>
          <w:rFonts w:ascii="Times New Roman" w:cs="Times New Roman" w:eastAsia="Times New Roman" w:hAnsi="Times New Roman"/>
          <w:sz w:val="20"/>
          <w:szCs w:val="20"/>
          <w:highlight w:val="white"/>
          <w:rtl w:val="0"/>
        </w:rPr>
        <w:t xml:space="preserve">The abbreviation “i.e.” means “that is”, and the abbreviation “e.g.” means “for example”. </w:t>
      </w:r>
      <w:r w:rsidDel="00000000" w:rsidR="00000000" w:rsidRPr="00000000">
        <w:rPr>
          <w:rtl w:val="0"/>
        </w:rPr>
      </w:r>
    </w:p>
    <w:p w:rsidR="00000000" w:rsidDel="00000000" w:rsidP="00000000" w:rsidRDefault="00000000" w:rsidRPr="00000000" w14:paraId="00000111">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 excellent style manual for science writers is [7]. </w:t>
      </w:r>
    </w:p>
    <w:p w:rsidR="00000000" w:rsidDel="00000000" w:rsidP="00000000" w:rsidRDefault="00000000" w:rsidRPr="00000000" w14:paraId="00000112">
      <w:pPr>
        <w:numPr>
          <w:ilvl w:val="0"/>
          <w:numId w:val="15"/>
        </w:numPr>
        <w:spacing w:after="120" w:line="302" w:lineRule="auto"/>
        <w:ind w:left="720" w:hanging="360"/>
        <w:jc w:val="both"/>
        <w:rPr>
          <w:rFonts w:ascii="Arial" w:cs="Arial" w:eastAsia="Arial" w:hAnsi="Arial"/>
          <w:highlight w:val="white"/>
        </w:rPr>
      </w:pPr>
      <w:r w:rsidDel="00000000" w:rsidR="00000000" w:rsidRPr="00000000">
        <w:rPr>
          <w:rFonts w:ascii="Times New Roman" w:cs="Times New Roman" w:eastAsia="Times New Roman" w:hAnsi="Times New Roman"/>
          <w:smallCaps w:val="1"/>
          <w:sz w:val="20"/>
          <w:szCs w:val="20"/>
          <w:highlight w:val="white"/>
          <w:rtl w:val="0"/>
        </w:rPr>
        <w:t xml:space="preserve">Using the Template </w:t>
      </w:r>
      <w:r w:rsidDel="00000000" w:rsidR="00000000" w:rsidRPr="00000000">
        <w:rPr>
          <w:rtl w:val="0"/>
        </w:rPr>
      </w:r>
    </w:p>
    <w:p w:rsidR="00000000" w:rsidDel="00000000" w:rsidP="00000000" w:rsidRDefault="00000000" w:rsidRPr="00000000" w14:paraId="00000113">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 </w:t>
      </w:r>
    </w:p>
    <w:p w:rsidR="00000000" w:rsidDel="00000000" w:rsidP="00000000" w:rsidRDefault="00000000" w:rsidRPr="00000000" w14:paraId="00000114">
      <w:pPr>
        <w:numPr>
          <w:ilvl w:val="0"/>
          <w:numId w:val="21"/>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Authors and Affiliations </w:t>
      </w:r>
      <w:r w:rsidDel="00000000" w:rsidR="00000000" w:rsidRPr="00000000">
        <w:rPr>
          <w:rtl w:val="0"/>
        </w:rPr>
      </w:r>
    </w:p>
    <w:p w:rsidR="00000000" w:rsidDel="00000000" w:rsidP="00000000" w:rsidRDefault="00000000" w:rsidRPr="00000000" w14:paraId="00000115">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The template is designed for, but not limited to, six authors.</w:t>
      </w:r>
      <w:r w:rsidDel="00000000" w:rsidR="00000000" w:rsidRPr="00000000">
        <w:rPr>
          <w:rFonts w:ascii="Times New Roman" w:cs="Times New Roman" w:eastAsia="Times New Roman" w:hAnsi="Times New Roman"/>
          <w:sz w:val="20"/>
          <w:szCs w:val="20"/>
          <w:highlight w:val="whit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 </w:t>
      </w:r>
    </w:p>
    <w:p w:rsidR="00000000" w:rsidDel="00000000" w:rsidP="00000000" w:rsidRDefault="00000000" w:rsidRPr="00000000" w14:paraId="00000116">
      <w:pPr>
        <w:numPr>
          <w:ilvl w:val="0"/>
          <w:numId w:val="22"/>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For papers with more than six authors: </w:t>
      </w:r>
      <w:r w:rsidDel="00000000" w:rsidR="00000000" w:rsidRPr="00000000">
        <w:rPr>
          <w:rFonts w:ascii="Times New Roman" w:cs="Times New Roman" w:eastAsia="Times New Roman" w:hAnsi="Times New Roman"/>
          <w:sz w:val="20"/>
          <w:szCs w:val="20"/>
          <w:highlight w:val="white"/>
          <w:rtl w:val="0"/>
        </w:rPr>
        <w:t xml:space="preserve">Add author names horizontally, moving to a third row if needed for more than 8 authors.</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117">
      <w:pPr>
        <w:numPr>
          <w:ilvl w:val="0"/>
          <w:numId w:val="4"/>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For papers with less than six authors: </w:t>
      </w:r>
      <w:r w:rsidDel="00000000" w:rsidR="00000000" w:rsidRPr="00000000">
        <w:rPr>
          <w:rFonts w:ascii="Times New Roman" w:cs="Times New Roman" w:eastAsia="Times New Roman" w:hAnsi="Times New Roman"/>
          <w:sz w:val="20"/>
          <w:szCs w:val="20"/>
          <w:highlight w:val="white"/>
          <w:rtl w:val="0"/>
        </w:rPr>
        <w:t xml:space="preserve">To change the default, adjust the template as follows.</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118">
      <w:pPr>
        <w:numPr>
          <w:ilvl w:val="0"/>
          <w:numId w:val="10"/>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Selection: </w:t>
      </w:r>
      <w:r w:rsidDel="00000000" w:rsidR="00000000" w:rsidRPr="00000000">
        <w:rPr>
          <w:rFonts w:ascii="Times New Roman" w:cs="Times New Roman" w:eastAsia="Times New Roman" w:hAnsi="Times New Roman"/>
          <w:sz w:val="20"/>
          <w:szCs w:val="20"/>
          <w:highlight w:val="white"/>
          <w:rtl w:val="0"/>
        </w:rPr>
        <w:t xml:space="preserve">Highlight all author and affiliation lines.</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119">
      <w:pPr>
        <w:numPr>
          <w:ilvl w:val="0"/>
          <w:numId w:val="25"/>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Change number of columns: </w:t>
      </w:r>
      <w:r w:rsidDel="00000000" w:rsidR="00000000" w:rsidRPr="00000000">
        <w:rPr>
          <w:rFonts w:ascii="Times New Roman" w:cs="Times New Roman" w:eastAsia="Times New Roman" w:hAnsi="Times New Roman"/>
          <w:sz w:val="20"/>
          <w:szCs w:val="20"/>
          <w:highlight w:val="white"/>
          <w:rtl w:val="0"/>
        </w:rPr>
        <w:t xml:space="preserve">Select the Columns icon from the MS Word Standard toolbar and then select the correct number of columns from the selection palette.</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11A">
      <w:pPr>
        <w:numPr>
          <w:ilvl w:val="0"/>
          <w:numId w:val="8"/>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Deletion: </w:t>
      </w:r>
      <w:r w:rsidDel="00000000" w:rsidR="00000000" w:rsidRPr="00000000">
        <w:rPr>
          <w:rFonts w:ascii="Times New Roman" w:cs="Times New Roman" w:eastAsia="Times New Roman" w:hAnsi="Times New Roman"/>
          <w:sz w:val="20"/>
          <w:szCs w:val="20"/>
          <w:highlight w:val="white"/>
          <w:rtl w:val="0"/>
        </w:rPr>
        <w:t xml:space="preserve">Delete the author and affiliation lines for the extra authors.</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11B">
      <w:pPr>
        <w:shd w:fill="ffffff" w:val="clear"/>
        <w:spacing w:after="120" w:line="302"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1C">
      <w:pPr>
        <w:numPr>
          <w:ilvl w:val="0"/>
          <w:numId w:val="32"/>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Identify the Headings </w:t>
      </w:r>
      <w:r w:rsidDel="00000000" w:rsidR="00000000" w:rsidRPr="00000000">
        <w:rPr>
          <w:rtl w:val="0"/>
        </w:rPr>
      </w:r>
    </w:p>
    <w:p w:rsidR="00000000" w:rsidDel="00000000" w:rsidP="00000000" w:rsidRDefault="00000000" w:rsidRPr="00000000" w14:paraId="0000011D">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Headings, or heads, are organizational devices that guide the reader through your paper. There are two types: component heads and text heads. </w:t>
      </w:r>
    </w:p>
    <w:p w:rsidR="00000000" w:rsidDel="00000000" w:rsidP="00000000" w:rsidRDefault="00000000" w:rsidRPr="00000000" w14:paraId="0000011E">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 </w:t>
      </w:r>
    </w:p>
    <w:p w:rsidR="00000000" w:rsidDel="00000000" w:rsidP="00000000" w:rsidRDefault="00000000" w:rsidRPr="00000000" w14:paraId="0000011F">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 </w:t>
      </w:r>
    </w:p>
    <w:p w:rsidR="00000000" w:rsidDel="00000000" w:rsidP="00000000" w:rsidRDefault="00000000" w:rsidRPr="00000000" w14:paraId="00000120">
      <w:pPr>
        <w:numPr>
          <w:ilvl w:val="0"/>
          <w:numId w:val="34"/>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Figures and Tables </w:t>
      </w:r>
      <w:r w:rsidDel="00000000" w:rsidR="00000000" w:rsidRPr="00000000">
        <w:rPr>
          <w:rtl w:val="0"/>
        </w:rPr>
      </w:r>
    </w:p>
    <w:p w:rsidR="00000000" w:rsidDel="00000000" w:rsidP="00000000" w:rsidRDefault="00000000" w:rsidRPr="00000000" w14:paraId="00000121">
      <w:pPr>
        <w:numPr>
          <w:ilvl w:val="0"/>
          <w:numId w:val="30"/>
        </w:numPr>
        <w:spacing w:after="120" w:line="302" w:lineRule="auto"/>
        <w:ind w:left="720" w:hanging="360"/>
        <w:jc w:val="both"/>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 Positioning Figures and Tables: </w:t>
      </w:r>
      <w:r w:rsidDel="00000000" w:rsidR="00000000" w:rsidRPr="00000000">
        <w:rPr>
          <w:rFonts w:ascii="Times New Roman" w:cs="Times New Roman" w:eastAsia="Times New Roman" w:hAnsi="Times New Roman"/>
          <w:sz w:val="20"/>
          <w:szCs w:val="20"/>
          <w:highlight w:val="white"/>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Fonts w:ascii="Times New Roman" w:cs="Times New Roman" w:eastAsia="Times New Roman" w:hAnsi="Times New Roman"/>
          <w:i w:val="1"/>
          <w:iCs w:val="1"/>
          <w:sz w:val="20"/>
          <w:szCs w:val="20"/>
          <w:highlight w:val="white"/>
          <w:rtl w:val="0"/>
        </w:rPr>
        <w:t xml:space="preserve"> </w:t>
      </w:r>
      <w:r w:rsidDel="00000000" w:rsidR="00000000" w:rsidRPr="00000000">
        <w:rPr>
          <w:rtl w:val="0"/>
        </w:rPr>
      </w:r>
    </w:p>
    <w:p w:rsidR="00000000" w:rsidDel="00000000" w:rsidP="00000000" w:rsidRDefault="00000000" w:rsidRPr="00000000" w14:paraId="00000122">
      <w:pPr>
        <w:widowControl w:val="0"/>
        <w:spacing w:line="240" w:lineRule="auto"/>
        <w:rPr>
          <w:rFonts w:ascii="Times New Roman" w:cs="Times New Roman" w:eastAsia="Times New Roman" w:hAnsi="Times New Roman"/>
          <w:smallCaps w:val="1"/>
          <w:sz w:val="16"/>
          <w:szCs w:val="16"/>
          <w:shd w:fill="fff2cc" w:val="clear"/>
        </w:rPr>
      </w:pPr>
      <w:r w:rsidDel="00000000" w:rsidR="00000000" w:rsidRPr="00000000">
        <w:rPr>
          <w:rFonts w:ascii="Times New Roman" w:cs="Times New Roman" w:eastAsia="Times New Roman" w:hAnsi="Times New Roman"/>
          <w:smallCaps w:val="1"/>
          <w:sz w:val="18"/>
          <w:szCs w:val="18"/>
          <w:shd w:fill="fff2cc" w:val="clear"/>
          <w:rtl w:val="0"/>
        </w:rPr>
        <w:t xml:space="preserve">TABLE 1. Specialist Profile</w:t>
      </w:r>
      <w:r w:rsidDel="00000000" w:rsidR="00000000" w:rsidRPr="00000000">
        <w:rPr>
          <w:rtl w:val="0"/>
        </w:rPr>
      </w:r>
    </w:p>
    <w:tbl>
      <w:tblPr>
        <w:tblStyle w:val="Table3"/>
        <w:tblW w:w="41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20"/>
        <w:gridCol w:w="1180"/>
        <w:gridCol w:w="1180"/>
        <w:gridCol w:w="1180"/>
        <w:tblGridChange w:id="0">
          <w:tblGrid>
            <w:gridCol w:w="620"/>
            <w:gridCol w:w="1180"/>
            <w:gridCol w:w="1180"/>
            <w:gridCol w:w="1180"/>
          </w:tblGrid>
        </w:tblGridChange>
      </w:tblGrid>
      <w:tr>
        <w:trPr>
          <w:cantSplit w:val="0"/>
          <w:trHeight w:val="240" w:hRule="atLeast"/>
          <w:tblHeader w:val="0"/>
        </w:trPr>
        <w:tc>
          <w:tcPr>
            <w:vMerge w:val="restart"/>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3">
            <w:pPr>
              <w:spacing w:after="120" w:before="40" w:line="302" w:lineRule="auto"/>
              <w:ind w:left="-80" w:firstLine="0"/>
              <w:jc w:val="both"/>
              <w:rPr>
                <w:rFonts w:ascii="Times New Roman" w:cs="Times New Roman" w:eastAsia="Times New Roman" w:hAnsi="Times New Roman"/>
                <w:b w:val="1"/>
                <w:bCs w:val="1"/>
                <w:sz w:val="16"/>
                <w:szCs w:val="16"/>
                <w:highlight w:val="white"/>
              </w:rPr>
            </w:pPr>
            <w:r w:rsidDel="00000000" w:rsidR="00000000" w:rsidRPr="00000000">
              <w:rPr>
                <w:rFonts w:ascii="Times New Roman" w:cs="Times New Roman" w:eastAsia="Times New Roman" w:hAnsi="Times New Roman"/>
                <w:b w:val="1"/>
                <w:bCs w:val="1"/>
                <w:sz w:val="16"/>
                <w:szCs w:val="16"/>
                <w:highlight w:val="white"/>
                <w:rtl w:val="0"/>
              </w:rPr>
              <w:t xml:space="preserve">Table Head </w:t>
            </w:r>
          </w:p>
        </w:tc>
        <w:tc>
          <w:tcPr>
            <w:gridSpan w:val="3"/>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4">
            <w:pPr>
              <w:spacing w:after="120" w:before="40" w:line="302" w:lineRule="auto"/>
              <w:ind w:left="-80" w:firstLine="0"/>
              <w:jc w:val="both"/>
              <w:rPr>
                <w:rFonts w:ascii="Times New Roman" w:cs="Times New Roman" w:eastAsia="Times New Roman" w:hAnsi="Times New Roman"/>
                <w:b w:val="1"/>
                <w:bCs w:val="1"/>
                <w:sz w:val="16"/>
                <w:szCs w:val="16"/>
                <w:highlight w:val="white"/>
              </w:rPr>
            </w:pPr>
            <w:r w:rsidDel="00000000" w:rsidR="00000000" w:rsidRPr="00000000">
              <w:rPr>
                <w:rFonts w:ascii="Times New Roman" w:cs="Times New Roman" w:eastAsia="Times New Roman" w:hAnsi="Times New Roman"/>
                <w:b w:val="1"/>
                <w:bCs w:val="1"/>
                <w:sz w:val="16"/>
                <w:szCs w:val="16"/>
                <w:highlight w:val="white"/>
                <w:rtl w:val="0"/>
              </w:rPr>
              <w:t xml:space="preserve">Table Column Head </w:t>
            </w:r>
          </w:p>
        </w:tc>
      </w:tr>
      <w:tr>
        <w:trPr>
          <w:cantSplit w:val="0"/>
          <w:trHeight w:val="405" w:hRule="atLeast"/>
          <w:tblHeader w:val="0"/>
        </w:trPr>
        <w:tc>
          <w:tcPr>
            <w:vMerge w:val="continue"/>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7">
            <w:pPr>
              <w:widowControl w:val="0"/>
              <w:spacing w:line="276" w:lineRule="auto"/>
              <w:rPr>
                <w:rFonts w:ascii="Times New Roman" w:cs="Times New Roman" w:eastAsia="Times New Roman" w:hAnsi="Times New Roman"/>
                <w:b w:val="1"/>
                <w:bCs w:val="1"/>
                <w:sz w:val="16"/>
                <w:szCs w:val="16"/>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8">
            <w:pPr>
              <w:spacing w:after="120" w:before="40" w:line="302" w:lineRule="auto"/>
              <w:ind w:left="-80" w:firstLine="0"/>
              <w:jc w:val="both"/>
              <w:rPr>
                <w:rFonts w:ascii="Times New Roman" w:cs="Times New Roman" w:eastAsia="Times New Roman" w:hAnsi="Times New Roman"/>
                <w:b w:val="1"/>
                <w:bCs w:val="1"/>
                <w:i w:val="1"/>
                <w:iCs w:val="1"/>
                <w:sz w:val="15"/>
                <w:szCs w:val="15"/>
                <w:highlight w:val="white"/>
              </w:rPr>
            </w:pPr>
            <w:r w:rsidDel="00000000" w:rsidR="00000000" w:rsidRPr="00000000">
              <w:rPr>
                <w:rFonts w:ascii="Times New Roman" w:cs="Times New Roman" w:eastAsia="Times New Roman" w:hAnsi="Times New Roman"/>
                <w:b w:val="1"/>
                <w:bCs w:val="1"/>
                <w:i w:val="1"/>
                <w:iCs w:val="1"/>
                <w:sz w:val="15"/>
                <w:szCs w:val="15"/>
                <w:highlight w:val="white"/>
                <w:rtl w:val="0"/>
              </w:rPr>
              <w:t xml:space="preserve">Table column subhead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9">
            <w:pPr>
              <w:spacing w:after="120" w:before="40" w:line="302" w:lineRule="auto"/>
              <w:ind w:left="-80" w:firstLine="0"/>
              <w:jc w:val="both"/>
              <w:rPr>
                <w:rFonts w:ascii="Times New Roman" w:cs="Times New Roman" w:eastAsia="Times New Roman" w:hAnsi="Times New Roman"/>
                <w:b w:val="1"/>
                <w:bCs w:val="1"/>
                <w:i w:val="1"/>
                <w:iCs w:val="1"/>
                <w:sz w:val="15"/>
                <w:szCs w:val="15"/>
                <w:highlight w:val="white"/>
              </w:rPr>
            </w:pPr>
            <w:r w:rsidDel="00000000" w:rsidR="00000000" w:rsidRPr="00000000">
              <w:rPr>
                <w:rFonts w:ascii="Times New Roman" w:cs="Times New Roman" w:eastAsia="Times New Roman" w:hAnsi="Times New Roman"/>
                <w:b w:val="1"/>
                <w:bCs w:val="1"/>
                <w:i w:val="1"/>
                <w:iCs w:val="1"/>
                <w:sz w:val="15"/>
                <w:szCs w:val="15"/>
                <w:highlight w:val="white"/>
                <w:rtl w:val="0"/>
              </w:rPr>
              <w:t xml:space="preserve">Subhead </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12A">
            <w:pPr>
              <w:spacing w:after="120" w:before="40" w:line="302" w:lineRule="auto"/>
              <w:ind w:left="-80" w:firstLine="0"/>
              <w:jc w:val="both"/>
              <w:rPr>
                <w:rFonts w:ascii="Times New Roman" w:cs="Times New Roman" w:eastAsia="Times New Roman" w:hAnsi="Times New Roman"/>
                <w:b w:val="1"/>
                <w:bCs w:val="1"/>
                <w:i w:val="1"/>
                <w:iCs w:val="1"/>
                <w:sz w:val="15"/>
                <w:szCs w:val="15"/>
                <w:highlight w:val="white"/>
              </w:rPr>
            </w:pPr>
            <w:r w:rsidDel="00000000" w:rsidR="00000000" w:rsidRPr="00000000">
              <w:rPr>
                <w:rFonts w:ascii="Times New Roman" w:cs="Times New Roman" w:eastAsia="Times New Roman" w:hAnsi="Times New Roman"/>
                <w:b w:val="1"/>
                <w:bCs w:val="1"/>
                <w:i w:val="1"/>
                <w:iCs w:val="1"/>
                <w:sz w:val="15"/>
                <w:szCs w:val="15"/>
                <w:highlight w:val="white"/>
                <w:rtl w:val="0"/>
              </w:rPr>
              <w:t xml:space="preserve">Subhead </w:t>
            </w:r>
          </w:p>
        </w:tc>
      </w:tr>
      <w:tr>
        <w:trPr>
          <w:cantSplit w:val="0"/>
          <w:trHeight w:val="315" w:hRule="atLeast"/>
          <w:tblHeader w:val="0"/>
        </w:trPr>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B">
            <w:pPr>
              <w:spacing w:after="120" w:before="40" w:line="302" w:lineRule="auto"/>
              <w:ind w:left="-80"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copy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C">
            <w:pPr>
              <w:spacing w:after="120" w:before="40" w:line="302" w:lineRule="auto"/>
              <w:ind w:left="-80" w:firstLine="0"/>
              <w:jc w:val="both"/>
              <w:rPr>
                <w:rFonts w:ascii="Times New Roman" w:cs="Times New Roman" w:eastAsia="Times New Roman" w:hAnsi="Times New Roman"/>
                <w:sz w:val="12"/>
                <w:szCs w:val="12"/>
                <w:highlight w:val="white"/>
              </w:rPr>
            </w:pPr>
            <w:r w:rsidDel="00000000" w:rsidR="00000000" w:rsidRPr="00000000">
              <w:rPr>
                <w:rFonts w:ascii="Times New Roman" w:cs="Times New Roman" w:eastAsia="Times New Roman" w:hAnsi="Times New Roman"/>
                <w:sz w:val="16"/>
                <w:szCs w:val="16"/>
                <w:highlight w:val="white"/>
                <w:rtl w:val="0"/>
              </w:rPr>
              <w:t xml:space="preserve">More table copy</w:t>
            </w:r>
            <w:r w:rsidDel="00000000" w:rsidR="00000000" w:rsidRPr="00000000">
              <w:rPr>
                <w:rFonts w:ascii="Times New Roman" w:cs="Times New Roman" w:eastAsia="Times New Roman" w:hAnsi="Times New Roman"/>
                <w:sz w:val="20"/>
                <w:szCs w:val="20"/>
                <w:highlight w:val="white"/>
                <w:vertAlign w:val="superscript"/>
                <w:rtl w:val="0"/>
              </w:rPr>
              <w:t xml:space="preserve">a</w:t>
            </w:r>
            <w:r w:rsidDel="00000000" w:rsidR="00000000" w:rsidRPr="00000000">
              <w:rPr>
                <w:rFonts w:ascii="Times New Roman" w:cs="Times New Roman" w:eastAsia="Times New Roman" w:hAnsi="Times New Roman"/>
                <w:sz w:val="12"/>
                <w:szCs w:val="12"/>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D">
            <w:pPr>
              <w:spacing w:after="120" w:before="40" w:line="302" w:lineRule="auto"/>
              <w:ind w:left="-80"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 </w:t>
            </w:r>
          </w:p>
        </w:tc>
        <w:tc>
          <w:tcPr>
            <w:tcBorders>
              <w:top w:color="000000" w:space="0" w:sz="5" w:val="single"/>
              <w:left w:color="000000" w:space="0" w:sz="5" w:val="single"/>
              <w:bottom w:color="000000" w:space="0" w:sz="5"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12E">
            <w:pPr>
              <w:spacing w:after="120" w:before="40" w:line="302" w:lineRule="auto"/>
              <w:ind w:left="-80"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 </w:t>
            </w:r>
          </w:p>
        </w:tc>
      </w:tr>
    </w:tbl>
    <w:p w:rsidR="00000000" w:rsidDel="00000000" w:rsidP="00000000" w:rsidRDefault="00000000" w:rsidRPr="00000000" w14:paraId="0000012F">
      <w:pPr>
        <w:numPr>
          <w:ilvl w:val="0"/>
          <w:numId w:val="12"/>
        </w:numPr>
        <w:spacing w:after="120" w:line="302" w:lineRule="auto"/>
        <w:ind w:left="760" w:hanging="360"/>
        <w:jc w:val="both"/>
        <w:rPr>
          <w:highlight w:val="white"/>
        </w:rPr>
      </w:pPr>
      <w:r w:rsidDel="00000000" w:rsidR="00000000" w:rsidRPr="00000000">
        <w:rPr>
          <w:rtl w:val="0"/>
        </w:rPr>
        <w:br w:type="textWrapping"/>
      </w:r>
      <w:r w:rsidDel="00000000" w:rsidR="00000000" w:rsidRPr="00000000">
        <w:rPr>
          <w:rFonts w:ascii="Times New Roman" w:cs="Times New Roman" w:eastAsia="Times New Roman" w:hAnsi="Times New Roman"/>
          <w:sz w:val="12"/>
          <w:szCs w:val="12"/>
          <w:highlight w:val="white"/>
          <w:rtl w:val="0"/>
        </w:rPr>
        <w:t xml:space="preserve">Sample of a Table footnote. (</w:t>
      </w:r>
      <w:r w:rsidDel="00000000" w:rsidR="00000000" w:rsidRPr="00000000">
        <w:rPr>
          <w:rFonts w:ascii="Times New Roman" w:cs="Times New Roman" w:eastAsia="Times New Roman" w:hAnsi="Times New Roman"/>
          <w:i w:val="1"/>
          <w:iCs w:val="1"/>
          <w:sz w:val="12"/>
          <w:szCs w:val="12"/>
          <w:highlight w:val="white"/>
          <w:rtl w:val="0"/>
        </w:rPr>
        <w:t xml:space="preserve">Table footnote</w:t>
      </w:r>
      <w:r w:rsidDel="00000000" w:rsidR="00000000" w:rsidRPr="00000000">
        <w:rPr>
          <w:rFonts w:ascii="Times New Roman" w:cs="Times New Roman" w:eastAsia="Times New Roman" w:hAnsi="Times New Roman"/>
          <w:sz w:val="12"/>
          <w:szCs w:val="12"/>
          <w:highlight w:val="white"/>
          <w:rtl w:val="0"/>
        </w:rPr>
        <w:t xml:space="preserve">) </w:t>
      </w:r>
    </w:p>
    <w:p w:rsidR="00000000" w:rsidDel="00000000" w:rsidP="00000000" w:rsidRDefault="00000000" w:rsidRPr="00000000" w14:paraId="00000130">
      <w:pPr>
        <w:spacing w:after="120" w:line="302"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Fig. 1. Example of a figure caption. (</w:t>
      </w:r>
      <w:r w:rsidDel="00000000" w:rsidR="00000000" w:rsidRPr="00000000">
        <w:rPr>
          <w:rFonts w:ascii="Times New Roman" w:cs="Times New Roman" w:eastAsia="Times New Roman" w:hAnsi="Times New Roman"/>
          <w:i w:val="1"/>
          <w:iCs w:val="1"/>
          <w:sz w:val="16"/>
          <w:szCs w:val="16"/>
          <w:shd w:fill="fff2cc" w:val="clear"/>
          <w:rtl w:val="0"/>
        </w:rPr>
        <w:t xml:space="preserve">figure caption</w:t>
      </w:r>
      <w:r w:rsidDel="00000000" w:rsidR="00000000" w:rsidRPr="00000000">
        <w:rPr>
          <w:rFonts w:ascii="Times New Roman" w:cs="Times New Roman" w:eastAsia="Times New Roman" w:hAnsi="Times New Roman"/>
          <w:sz w:val="16"/>
          <w:szCs w:val="16"/>
          <w:shd w:fill="fff2cc" w:val="clear"/>
          <w:rtl w:val="0"/>
        </w:rPr>
        <w:t xml:space="preserve">) </w:t>
      </w:r>
    </w:p>
    <w:p w:rsidR="00000000" w:rsidDel="00000000" w:rsidP="00000000" w:rsidRDefault="00000000" w:rsidRPr="00000000" w14:paraId="00000131">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 </w:t>
      </w:r>
    </w:p>
    <w:p w:rsidR="00000000" w:rsidDel="00000000" w:rsidP="00000000" w:rsidRDefault="00000000" w:rsidRPr="00000000" w14:paraId="00000132">
      <w:pPr>
        <w:shd w:fill="ffffff" w:val="clear"/>
        <w:spacing w:after="120" w:before="160" w:line="302" w:lineRule="auto"/>
        <w:jc w:val="both"/>
        <w:rPr>
          <w:rFonts w:ascii="Times New Roman" w:cs="Times New Roman" w:eastAsia="Times New Roman" w:hAnsi="Times New Roman"/>
          <w:smallCaps w:val="1"/>
          <w:sz w:val="20"/>
          <w:szCs w:val="20"/>
          <w:highlight w:val="white"/>
        </w:rPr>
      </w:pPr>
      <w:r w:rsidDel="00000000" w:rsidR="00000000" w:rsidRPr="00000000">
        <w:rPr>
          <w:rFonts w:ascii="Times New Roman" w:cs="Times New Roman" w:eastAsia="Times New Roman" w:hAnsi="Times New Roman"/>
          <w:smallCaps w:val="1"/>
          <w:sz w:val="20"/>
          <w:szCs w:val="20"/>
          <w:highlight w:val="white"/>
          <w:rtl w:val="0"/>
        </w:rPr>
        <w:t xml:space="preserve">Acknowledgment </w:t>
      </w:r>
      <w:r w:rsidDel="00000000" w:rsidR="00000000" w:rsidRPr="00000000">
        <w:rPr>
          <w:rFonts w:ascii="Times New Roman" w:cs="Times New Roman" w:eastAsia="Times New Roman" w:hAnsi="Times New Roman"/>
          <w:i w:val="1"/>
          <w:iCs w:val="1"/>
          <w:smallCaps w:val="1"/>
          <w:sz w:val="20"/>
          <w:szCs w:val="20"/>
          <w:highlight w:val="white"/>
          <w:rtl w:val="0"/>
        </w:rPr>
        <w:t xml:space="preserve">(</w:t>
      </w:r>
      <w:r w:rsidDel="00000000" w:rsidR="00000000" w:rsidRPr="00000000">
        <w:rPr>
          <w:rFonts w:ascii="Times New Roman" w:cs="Times New Roman" w:eastAsia="Times New Roman" w:hAnsi="Times New Roman"/>
          <w:i w:val="1"/>
          <w:iCs w:val="1"/>
          <w:sz w:val="20"/>
          <w:szCs w:val="20"/>
          <w:highlight w:val="white"/>
          <w:rtl w:val="0"/>
        </w:rPr>
        <w:t xml:space="preserve">Heading 5</w:t>
      </w:r>
      <w:r w:rsidDel="00000000" w:rsidR="00000000" w:rsidRPr="00000000">
        <w:rPr>
          <w:rFonts w:ascii="Times New Roman" w:cs="Times New Roman" w:eastAsia="Times New Roman" w:hAnsi="Times New Roman"/>
          <w:i w:val="1"/>
          <w:iCs w:val="1"/>
          <w:smallCaps w:val="1"/>
          <w:sz w:val="20"/>
          <w:szCs w:val="20"/>
          <w:highlight w:val="white"/>
          <w:rtl w:val="0"/>
        </w:rPr>
        <w:t xml:space="preserve">)</w:t>
      </w:r>
      <w:r w:rsidDel="00000000" w:rsidR="00000000" w:rsidRPr="00000000">
        <w:rPr>
          <w:rFonts w:ascii="Times New Roman" w:cs="Times New Roman" w:eastAsia="Times New Roman" w:hAnsi="Times New Roman"/>
          <w:smallCaps w:val="1"/>
          <w:sz w:val="20"/>
          <w:szCs w:val="20"/>
          <w:highlight w:val="white"/>
          <w:rtl w:val="0"/>
        </w:rPr>
        <w:t xml:space="preserve"> </w:t>
      </w:r>
    </w:p>
    <w:p w:rsidR="00000000" w:rsidDel="00000000" w:rsidP="00000000" w:rsidRDefault="00000000" w:rsidRPr="00000000" w14:paraId="00000133">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preferred spelling of the word “acknowledgment” in America is without an “e” after the “g”. Avoid the stilted expression “one of us (R. B. G.) thanks ...”.  Instead, try “R. B. G. thanks...”. Put sponsor acknowledgments in the unnumbered footnote on the first page. </w:t>
      </w:r>
    </w:p>
    <w:p w:rsidR="00000000" w:rsidDel="00000000" w:rsidP="00000000" w:rsidRDefault="00000000" w:rsidRPr="00000000" w14:paraId="00000134">
      <w:pPr>
        <w:shd w:fill="ffffff" w:val="clear"/>
        <w:spacing w:after="120" w:before="160" w:line="302" w:lineRule="auto"/>
        <w:jc w:val="both"/>
        <w:rPr>
          <w:rFonts w:ascii="Times New Roman" w:cs="Times New Roman" w:eastAsia="Times New Roman" w:hAnsi="Times New Roman"/>
          <w:smallCaps w:val="1"/>
          <w:sz w:val="20"/>
          <w:szCs w:val="20"/>
          <w:highlight w:val="white"/>
        </w:rPr>
      </w:pPr>
      <w:r w:rsidDel="00000000" w:rsidR="00000000" w:rsidRPr="00000000">
        <w:rPr>
          <w:rFonts w:ascii="Times New Roman" w:cs="Times New Roman" w:eastAsia="Times New Roman" w:hAnsi="Times New Roman"/>
          <w:smallCaps w:val="1"/>
          <w:sz w:val="20"/>
          <w:szCs w:val="20"/>
          <w:highlight w:val="white"/>
          <w:rtl w:val="0"/>
        </w:rPr>
        <w:t xml:space="preserve">References </w:t>
      </w:r>
    </w:p>
    <w:p w:rsidR="00000000" w:rsidDel="00000000" w:rsidP="00000000" w:rsidRDefault="00000000" w:rsidRPr="00000000" w14:paraId="00000135">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 </w:t>
      </w:r>
    </w:p>
    <w:p w:rsidR="00000000" w:rsidDel="00000000" w:rsidP="00000000" w:rsidRDefault="00000000" w:rsidRPr="00000000" w14:paraId="00000136">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Number footnotes separately in superscripts. Place the actual footnote at the bottom of the column in which it was cited. Do not put footnotes in the abstract or reference list. Use letters for table footnotes. </w:t>
      </w:r>
    </w:p>
    <w:p w:rsidR="00000000" w:rsidDel="00000000" w:rsidP="00000000" w:rsidRDefault="00000000" w:rsidRPr="00000000" w14:paraId="00000137">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 </w:t>
      </w:r>
    </w:p>
    <w:p w:rsidR="00000000" w:rsidDel="00000000" w:rsidP="00000000" w:rsidRDefault="00000000" w:rsidRPr="00000000" w14:paraId="00000138">
      <w:pPr>
        <w:shd w:fill="ffffff" w:val="clear"/>
        <w:spacing w:after="120" w:line="302" w:lineRule="auto"/>
        <w:ind w:firstLine="28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 papers published in translation journals, please give the English citation first, followed by the original foreign-language citation [6]. </w:t>
      </w:r>
    </w:p>
    <w:p w:rsidR="00000000" w:rsidDel="00000000" w:rsidP="00000000" w:rsidRDefault="00000000" w:rsidRPr="00000000" w14:paraId="00000139">
      <w:pPr>
        <w:shd w:fill="ffffff" w:val="clear"/>
        <w:spacing w:after="120" w:line="302"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p>
    <w:p w:rsidR="00000000" w:rsidDel="00000000" w:rsidP="00000000" w:rsidRDefault="00000000" w:rsidRPr="00000000" w14:paraId="0000013A">
      <w:pPr>
        <w:spacing w:after="120" w:line="302" w:lineRule="auto"/>
        <w:jc w:val="both"/>
        <w:rPr>
          <w:rFonts w:ascii="Times New Roman" w:cs="Times New Roman" w:eastAsia="Times New Roman" w:hAnsi="Times New Roman"/>
          <w:sz w:val="16"/>
          <w:szCs w:val="16"/>
          <w:shd w:fill="fff2cc" w:val="clear"/>
        </w:rPr>
      </w:pPr>
      <w:r w:rsidDel="00000000" w:rsidR="00000000" w:rsidRPr="00000000">
        <w:rPr>
          <w:rFonts w:ascii="Times New Roman" w:cs="Times New Roman" w:eastAsia="Times New Roman" w:hAnsi="Times New Roman"/>
          <w:sz w:val="16"/>
          <w:szCs w:val="16"/>
          <w:shd w:fill="fff2cc" w:val="clear"/>
          <w:rtl w:val="0"/>
        </w:rPr>
        <w:t xml:space="preserve">[1] 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i w:val="1"/>
          <w:iCs w:val="1"/>
          <w:sz w:val="16"/>
          <w:szCs w:val="16"/>
          <w:shd w:fill="fff2cc" w:val="clear"/>
          <w:rtl w:val="0"/>
        </w:rPr>
        <w:t xml:space="preserve">(references)</w:t>
      </w:r>
      <w:r w:rsidDel="00000000" w:rsidR="00000000" w:rsidRPr="00000000">
        <w:rPr>
          <w:rFonts w:ascii="Times New Roman" w:cs="Times New Roman" w:eastAsia="Times New Roman" w:hAnsi="Times New Roman"/>
          <w:sz w:val="16"/>
          <w:szCs w:val="16"/>
          <w:shd w:fill="fff2cc" w:val="clear"/>
          <w:rtl w:val="0"/>
        </w:rPr>
        <w:t xml:space="preserve"> </w:t>
      </w:r>
    </w:p>
    <w:p w:rsidR="00000000" w:rsidDel="00000000" w:rsidP="00000000" w:rsidRDefault="00000000" w:rsidRPr="00000000" w14:paraId="0000013B">
      <w:pPr>
        <w:spacing w:after="12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[2] J. Clerk Maxwell, A Treatise on Electricity and Magnetism, 3rd ed., vol. 2. Oxford: Clarendon, 1892, pp.68–73. </w:t>
      </w:r>
    </w:p>
    <w:p w:rsidR="00000000" w:rsidDel="00000000" w:rsidP="00000000" w:rsidRDefault="00000000" w:rsidRPr="00000000" w14:paraId="0000013C">
      <w:pPr>
        <w:spacing w:after="12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[3] I. S. Jacobs and C. P. Bean, “Fine particles, thin films and exchange anisotropy,” in Magnetism, vol. III, G. T. Rado and H. Suhl, Eds. New York: Academic, 1963, pp. 271–350. </w:t>
      </w:r>
    </w:p>
    <w:p w:rsidR="00000000" w:rsidDel="00000000" w:rsidP="00000000" w:rsidRDefault="00000000" w:rsidRPr="00000000" w14:paraId="0000013D">
      <w:pPr>
        <w:spacing w:after="12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[4] K. Elissa, “Title of paper if known,” unpublished. </w:t>
      </w:r>
    </w:p>
    <w:p w:rsidR="00000000" w:rsidDel="00000000" w:rsidP="00000000" w:rsidRDefault="00000000" w:rsidRPr="00000000" w14:paraId="0000013E">
      <w:pPr>
        <w:spacing w:after="12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[5] R. Nicole, “Title of paper with only first word capitalized,” J. Name Stand. Abbrev., in press. </w:t>
      </w:r>
    </w:p>
    <w:p w:rsidR="00000000" w:rsidDel="00000000" w:rsidP="00000000" w:rsidRDefault="00000000" w:rsidRPr="00000000" w14:paraId="0000013F">
      <w:pPr>
        <w:spacing w:after="12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[6] Y. Yorozu, M. Hirano, K. Oka, and Y. Tagawa, “Electron spectroscopy studies on magneto-optical media and plastic substrate interface,” IEEE Transl. J. Magn. Japan, vol. 2, pp. 740–741, August 1987 [Digests 9th Annual Conf. Magnetics Japan, p. 301, 1982]. </w:t>
      </w:r>
    </w:p>
    <w:p w:rsidR="00000000" w:rsidDel="00000000" w:rsidP="00000000" w:rsidRDefault="00000000" w:rsidRPr="00000000" w14:paraId="00000140">
      <w:pPr>
        <w:spacing w:after="120" w:line="302" w:lineRule="auto"/>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[7] M. Young, The Technical Writer’s Handbook. Mill Valley, CA: University Science, 1989. </w:t>
      </w:r>
    </w:p>
    <w:p w:rsidR="00000000" w:rsidDel="00000000" w:rsidP="00000000" w:rsidRDefault="00000000" w:rsidRPr="00000000" w14:paraId="00000141">
      <w:pPr>
        <w:shd w:fill="ffffff" w:val="clear"/>
        <w:spacing w:after="120" w:line="302" w:lineRule="auto"/>
        <w:ind w:left="360" w:firstLine="0"/>
        <w:jc w:val="both"/>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16"/>
          <w:szCs w:val="16"/>
          <w:highlight w:val="white"/>
          <w:rtl w:val="0"/>
        </w:rPr>
        <w:t xml:space="preserve"> </w:t>
      </w:r>
    </w:p>
    <w:p w:rsidR="00000000" w:rsidDel="00000000" w:rsidP="00000000" w:rsidRDefault="00000000" w:rsidRPr="00000000" w14:paraId="00000142">
      <w:pPr>
        <w:shd w:fill="ffffff" w:val="clear"/>
        <w:spacing w:after="120" w:line="302" w:lineRule="auto"/>
        <w:ind w:left="360" w:firstLine="0"/>
        <w:jc w:val="both"/>
        <w:rPr>
          <w:rFonts w:ascii="Times New Roman" w:cs="Times New Roman" w:eastAsia="Times New Roman" w:hAnsi="Times New Roman"/>
          <w:color w:val="ff0000"/>
          <w:sz w:val="20"/>
          <w:szCs w:val="20"/>
          <w:highlight w:val="white"/>
        </w:rPr>
      </w:pPr>
      <w:r w:rsidDel="00000000" w:rsidR="00000000" w:rsidRPr="00000000">
        <w:rPr>
          <w:rFonts w:ascii="Times New Roman" w:cs="Times New Roman" w:eastAsia="Times New Roman" w:hAnsi="Times New Roman"/>
          <w:b w:val="1"/>
          <w:bCs w:val="1"/>
          <w:color w:val="ff0000"/>
          <w:sz w:val="20"/>
          <w:szCs w:val="20"/>
          <w:highlight w:val="white"/>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r w:rsidDel="00000000" w:rsidR="00000000" w:rsidRPr="00000000">
        <w:rPr>
          <w:rFonts w:ascii="Times New Roman" w:cs="Times New Roman" w:eastAsia="Times New Roman" w:hAnsi="Times New Roman"/>
          <w:color w:val="ff0000"/>
          <w:sz w:val="20"/>
          <w:szCs w:val="20"/>
          <w:highlight w:val="white"/>
          <w:rtl w:val="0"/>
        </w:rPr>
        <w:t xml:space="preserve"> </w:t>
      </w:r>
    </w:p>
    <w:p w:rsidR="00000000" w:rsidDel="00000000" w:rsidP="00000000" w:rsidRDefault="00000000" w:rsidRPr="00000000" w14:paraId="00000143">
      <w:pPr>
        <w:spacing w:after="120" w:line="302" w:lineRule="auto"/>
        <w:jc w:val="both"/>
        <w:rPr>
          <w:rFonts w:ascii="Times New Roman" w:cs="Times New Roman" w:eastAsia="Times New Roman" w:hAnsi="Times New Roman"/>
          <w:sz w:val="18"/>
          <w:szCs w:val="18"/>
          <w:highlight w:val="white"/>
        </w:rPr>
      </w:pPr>
      <w:r w:rsidDel="00000000" w:rsidR="00000000" w:rsidRPr="00000000">
        <w:rPr/>
        <w:drawing>
          <wp:inline distB="0" distT="0" distL="114300" distR="114300">
            <wp:extent cx="2638425" cy="952500"/>
            <wp:effectExtent b="0" l="0" r="0" t="0"/>
            <wp:docPr descr="Text Box 8, Forma" id="1" name="image1.png"/>
            <a:graphic>
              <a:graphicData uri="http://schemas.openxmlformats.org/drawingml/2006/picture">
                <pic:pic>
                  <pic:nvPicPr>
                    <pic:cNvPr descr="Text Box 8, Forma" id="0" name="image1.png"/>
                    <pic:cNvPicPr preferRelativeResize="0"/>
                  </pic:nvPicPr>
                  <pic:blipFill>
                    <a:blip r:embed="rId18"/>
                    <a:srcRect b="0" l="0" r="0" t="0"/>
                    <a:stretch>
                      <a:fillRect/>
                    </a:stretch>
                  </pic:blipFill>
                  <pic:spPr>
                    <a:xfrm>
                      <a:off x="0" y="0"/>
                      <a:ext cx="2638425" cy="952500"/>
                    </a:xfrm>
                    <a:prstGeom prst="rect"/>
                    <a:ln/>
                  </pic:spPr>
                </pic:pic>
              </a:graphicData>
            </a:graphic>
          </wp:inline>
        </w:drawing>
      </w:r>
      <w:r w:rsidDel="00000000" w:rsidR="00000000" w:rsidRPr="00000000">
        <w:rPr>
          <w:rtl w:val="0"/>
        </w:rPr>
      </w:r>
    </w:p>
    <w:sectPr>
      <w:footerReference r:id="rId19" w:type="default"/>
      <w:type w:val="continuous"/>
      <w:pgSz w:h="16834" w:w="11909" w:orient="portrait"/>
      <w:pgMar w:bottom="1440" w:top="1077" w:left="907" w:right="907" w:header="720" w:footer="720"/>
      <w:cols w:equalWidth="0" w:num="2">
        <w:col w:space="720" w:w="4687.5"/>
        <w:col w:space="0" w:w="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16"/>
        <w:szCs w:val="16"/>
        <w:highlight w:val="white"/>
        <w:rtl w:val="0"/>
      </w:rPr>
      <w:t xml:space="preserve">XXX-X-XXXX-XXXX-X/XX/$XX.00 ©20XX IEEE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16"/>
        <w:szCs w:val="16"/>
        <w:highlight w:val="white"/>
        <w:rtl w:val="0"/>
      </w:rPr>
      <w:t xml:space="preserve">XXX-X-XXXX-XXXX-X/XX/$XX.00 ©20XX IEEE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upperRoman"/>
      <w:lvlText w:val="%1."/>
      <w:lvlJc w:val="left"/>
      <w:pPr>
        <w:ind w:left="720" w:hanging="360"/>
      </w:pPr>
      <w:rPr>
        <w:rFonts w:ascii="Times New Roman" w:cs="Times New Roman" w:eastAsia="Times New Roman" w:hAnsi="Times New Roman"/>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upperLetter"/>
      <w:lvlText w:val="%1."/>
      <w:lvlJc w:val="left"/>
      <w:pPr>
        <w:ind w:left="720" w:hanging="360"/>
      </w:pPr>
      <w:rPr>
        <w:rFonts w:ascii="Times New Roman" w:cs="Times New Roman" w:eastAsia="Times New Roman" w:hAnsi="Times New Roman"/>
        <w:b w:val="0"/>
        <w:bCs w:val="0"/>
        <w:i w:val="1"/>
        <w:i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upperLetter"/>
      <w:lvlText w:val="%1."/>
      <w:lvlJc w:val="left"/>
      <w:pPr>
        <w:ind w:left="720" w:hanging="360"/>
      </w:pPr>
      <w:rPr>
        <w:rFonts w:ascii="Times New Roman" w:cs="Times New Roman" w:eastAsia="Times New Roman" w:hAnsi="Times New Roman"/>
        <w:b w:val="0"/>
        <w:bCs w:val="0"/>
        <w:i w:val="1"/>
        <w:i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upperLetter"/>
      <w:lvlText w:val="%1."/>
      <w:lvlJc w:val="left"/>
      <w:pPr>
        <w:ind w:left="720" w:hanging="360"/>
      </w:pPr>
      <w:rPr>
        <w:rFonts w:ascii="Times New Roman" w:cs="Times New Roman" w:eastAsia="Times New Roman" w:hAnsi="Times New Roman"/>
        <w:b w:val="0"/>
        <w:bCs w:val="0"/>
        <w:i w:val="1"/>
        <w:i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upperRoman"/>
      <w:lvlText w:val="%1."/>
      <w:lvlJc w:val="left"/>
      <w:pPr>
        <w:ind w:left="720" w:hanging="360"/>
      </w:pPr>
      <w:rPr>
        <w:rFonts w:ascii="Times New Roman" w:cs="Times New Roman" w:eastAsia="Times New Roman" w:hAnsi="Times New Roman"/>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upperLetter"/>
      <w:lvlText w:val="%1."/>
      <w:lvlJc w:val="left"/>
      <w:pPr>
        <w:ind w:left="720" w:hanging="360"/>
      </w:pPr>
      <w:rPr>
        <w:rFonts w:ascii="Times New Roman" w:cs="Times New Roman" w:eastAsia="Times New Roman" w:hAnsi="Times New Roman"/>
        <w:b w:val="0"/>
        <w:bCs w:val="0"/>
        <w:i w:val="1"/>
        <w:i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rFonts w:ascii="Times New Roman" w:cs="Times New Roman" w:eastAsia="Times New Roman" w:hAnsi="Times New Roman"/>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upperRoman"/>
      <w:lvlText w:val="%1."/>
      <w:lvlJc w:val="left"/>
      <w:pPr>
        <w:ind w:left="720" w:hanging="360"/>
      </w:pPr>
      <w:rPr>
        <w:rFonts w:ascii="Times New Roman" w:cs="Times New Roman" w:eastAsia="Times New Roman" w:hAnsi="Times New Roman"/>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upperLetter"/>
      <w:lvlText w:val="%1."/>
      <w:lvlJc w:val="left"/>
      <w:pPr>
        <w:ind w:left="720" w:hanging="360"/>
      </w:pPr>
      <w:rPr>
        <w:rFonts w:ascii="Times New Roman" w:cs="Times New Roman" w:eastAsia="Times New Roman" w:hAnsi="Times New Roman"/>
        <w:b w:val="0"/>
        <w:bCs w:val="0"/>
        <w:i w:val="1"/>
        <w:i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upp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
      <w:numFmt w:val="upp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2"/>
      <w:numFmt w:val="upperRoman"/>
      <w:lvlText w:val="%1."/>
      <w:lvlJc w:val="left"/>
      <w:pPr>
        <w:ind w:left="720" w:hanging="360"/>
      </w:pPr>
      <w:rPr>
        <w:rFonts w:ascii="Times New Roman" w:cs="Times New Roman" w:eastAsia="Times New Roman" w:hAnsi="Times New Roman"/>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upperLetter"/>
      <w:lvlText w:val="%1."/>
      <w:lvlJc w:val="left"/>
      <w:pPr>
        <w:ind w:left="720" w:hanging="360"/>
      </w:pPr>
      <w:rPr>
        <w:rFonts w:ascii="Times New Roman" w:cs="Times New Roman" w:eastAsia="Times New Roman" w:hAnsi="Times New Roman"/>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02" w:lineRule="auto"/>
      <w:ind w:left="720" w:hanging="360"/>
      <w:jc w:val="both"/>
    </w:pPr>
    <w:rPr>
      <w:rFonts w:ascii="Times New Roman" w:cs="Times New Roman" w:eastAsia="Times New Roman" w:hAnsi="Times New Roman"/>
      <w:smallCaps w:val="1"/>
      <w:sz w:val="20"/>
      <w:szCs w:val="20"/>
      <w:highlight w:val="white"/>
    </w:rPr>
  </w:style>
  <w:style w:type="paragraph" w:styleId="Heading2">
    <w:name w:val="heading 2"/>
    <w:basedOn w:val="Normal"/>
    <w:next w:val="Normal"/>
    <w:pPr>
      <w:keepNext w:val="1"/>
      <w:keepLines w:val="1"/>
      <w:spacing w:after="120" w:line="302" w:lineRule="auto"/>
      <w:ind w:left="720" w:hanging="360"/>
      <w:jc w:val="both"/>
    </w:pPr>
    <w:rPr>
      <w:rFonts w:ascii="Times New Roman" w:cs="Times New Roman" w:eastAsia="Times New Roman" w:hAnsi="Times New Roman"/>
      <w:i w:val="1"/>
      <w:iCs w:val="1"/>
      <w:sz w:val="20"/>
      <w:szCs w:val="20"/>
      <w:highlight w:val="white"/>
    </w:rPr>
  </w:style>
  <w:style w:type="paragraph" w:styleId="Heading3">
    <w:name w:val="heading 3"/>
    <w:basedOn w:val="Normal"/>
    <w:next w:val="Normal"/>
    <w:pPr>
      <w:keepNext w:val="1"/>
      <w:keepLines w:val="1"/>
      <w:shd w:fill="ffffff" w:val="clear"/>
      <w:spacing w:after="120" w:before="160" w:line="302" w:lineRule="auto"/>
      <w:jc w:val="both"/>
    </w:pPr>
    <w:rPr>
      <w:rFonts w:ascii="Times New Roman" w:cs="Times New Roman" w:eastAsia="Times New Roman" w:hAnsi="Times New Roman"/>
      <w:smallCaps w:val="1"/>
      <w:sz w:val="20"/>
      <w:szCs w:val="20"/>
      <w:highlight w:val="whit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hd w:fill="ffffff" w:val="clear"/>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docs.google.com/spreadsheets/d/1u0o-GkN42tJy6GxXbyceOWGdwocuPdEJOaa4itmqwPk/edit?usp=sharing"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footer" Target="footer3.xml"/><Relationship Id="rId17" Type="http://schemas.openxmlformats.org/officeDocument/2006/relationships/footer" Target="footer3.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footer" Target="footer1.xml"/><Relationship Id="rId18"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