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the purpose of this document is to outline the expected features and functionalities of our forthcoming project. for what it's worth, we have established the following guidelines to ensure its success:</w:t>
      </w:r>
    </w:p>
    <w:p>
      <w:pPr>
        <w:spacing w:before="0" w:after="240" w:line="240" w:lineRule="auto"/>
      </w:pPr>
    </w:p>
    <w:p>
      <w:pPr>
        <w:spacing w:before="0" w:after="240" w:line="240" w:lineRule="auto"/>
      </w:pPr>
      <w:r>
        <w:t>Furthermore, section 1. Interface Consistency</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the interface displayed on the tab must mirror the image provided below, with no discrepancies whatsoever. to be fair, 2. The only fee that should show must be processing fee of $25. Maintain exchange rate …. Best rate</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By contrast, 3.  . pay Student Sevis fee and pay tuition fees. Why have you only fulfilled one requirement? if I'm honest,</w:t>
      </w:r>
    </w:p>
    <w:p>
      <w:pPr>
        <w:spacing w:before="0" w:after="240" w:line="240" w:lineRule="auto"/>
      </w:pPr>
    </w:p>
    <w:p>
      <w:pPr>
        <w:spacing w:before="0" w:after="240" w:line="240" w:lineRule="auto"/>
      </w:pPr>
      <w:r>
        <w:t>For example, section 2: Project Scope</w:t>
      </w:r>
    </w:p>
    <w:p>
      <w:pPr>
        <w:spacing w:before="0" w:after="240" w:line="240" w:lineRule="auto"/>
      </w:pPr>
    </w:p>
    <w:p>
      <w:pPr>
        <w:spacing w:before="0" w:after="240" w:line="240" w:lineRule="auto"/>
      </w:pPr>
      <w:r>
        <w:t>As a result, for the purposes of this project. the functionality should be designed to enable transactions from Ghana to the US, rather than vice versa. Section 3: Mobile Compatibility</w:t>
      </w:r>
    </w:p>
    <w:p>
      <w:pPr>
        <w:spacing w:before="0" w:after="240" w:line="240" w:lineRule="auto"/>
      </w:pPr>
    </w:p>
    <w:p>
      <w:pPr>
        <w:spacing w:before="0" w:after="240" w:line="240" w:lineRule="auto"/>
      </w:pPr>
      <w:r>
        <w:t>However, when using the website via a mobile device, all functions that are available on a laptop should be equally operational. This includes, but is not limited to, the Sevis fee payment, tuition fee payment, and remittances. These features should be easily accessible and fully functional on mobile devices. Conclusion\1\2the project should focus on delivering a consistent user interface, sticking to the defined project scope, and ensuring mobile compatibility. By adhering to these guidelines, we can guarantee a successful and user-friendly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