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pPr>
      <w:r>
        <w:t>to be fair, introduction:</w:t>
      </w:r>
    </w:p>
    <w:p>
      <w:pPr>
        <w:spacing w:before="0" w:after="240" w:line="240" w:lineRule="auto"/>
      </w:pPr>
    </w:p>
    <w:p>
      <w:pPr>
        <w:spacing w:before="0" w:after="240" w:line="240" w:lineRule="auto"/>
      </w:pPr>
      <w:r>
        <w:t>Moreover, embarking on the path to delivering an unparalleled user experience hinges on the harmonization of the digital interface with its intended design. for what it's worth, this involves a precise representation of tabs, complete adherence to all set requirements, and the correct display of information. Moreover, the platform's functionality should be consistent across all devices. 1. The tab displayed above should mirror the image captured below, free from any inconsistencies. Sometimes year—</w:t>
      </w:r>
    </w:p>
    <w:p>
      <w:pPr>
        <w:spacing w:before="0" w:after="240" w:line="240" w:lineRule="auto"/>
      </w:pPr>
    </w:p>
    <w:p>
      <w:pPr>
        <w:spacing w:before="0" w:after="240" w:line="240" w:lineRule="auto"/>
      </w:pPr>
      <w:r>
        <w:t>Furthermore, 2. The only fee that should show must be processing fee of $25… Maintain exchange rate …. Best rate</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In addition, transition:</w:t>
      </w:r>
    </w:p>
    <w:p>
      <w:pPr>
        <w:spacing w:before="0" w:after="240" w:line="240" w:lineRule="auto"/>
      </w:pPr>
    </w:p>
    <w:p>
      <w:pPr>
        <w:spacing w:before="0" w:after="240" w:line="240" w:lineRule="auto"/>
      </w:pPr>
      <w:r>
        <w:t>By contrast, turning our focus to the requirements, there seems to be a discrepancy in their fulfillment. 2. Two obligations are particularly noteworthy and need to be addressed - the payment of the Student Sevis fee and the tuition fees. It appears that only one of these requirements has been satisfied. could you shed some light on this? 3. Within the context of this project, the displayed information should indicate that the transaction is being carried out from Ghana to the US, not vice versa. Transition:</w:t>
      </w:r>
    </w:p>
    <w:p>
      <w:pPr>
        <w:spacing w:before="0" w:after="240" w:line="240" w:lineRule="auto"/>
      </w:pPr>
    </w:p>
    <w:p>
      <w:pPr>
        <w:spacing w:before="0" w:after="240" w:line="240" w:lineRule="auto"/>
      </w:pPr>
      <w:r>
        <w:t>For example, lastly, the issue of mobile compatibility needs to be examined. 4. At present, these services are not operational on mobile devices. When the website is accessed via a mobile device, all functionalities that are available on a laptop should also be accessible. Currently, the Sevis fee payment, tuition fee payment, and remittances should all be operational on mobile devices. Conclusion:\1\2addressing these issues is crucial to ensuring a seamless and consistent user experience across all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Arial" w:hAnsi="Arial" w:eastAsia="Arial"/>
      <w:b w:val="0"/>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eastAsia="Arial"/>
      <w:b w:val="0"/>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