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pPr>
      <w:r>
        <w:t>to be fair, introduction:</w:t>
      </w:r>
    </w:p>
    <w:p>
      <w:pPr>
        <w:spacing w:before="0" w:after="240" w:line="240" w:lineRule="auto"/>
      </w:pPr>
    </w:p>
    <w:p>
      <w:pPr>
        <w:spacing w:before="0" w:after="240" w:line="240" w:lineRule="auto"/>
      </w:pPr>
      <w:r>
        <w:t>Moreover, in our pursuit of providing an unmatched user experience, it is crucial that every aspect of our platform performs seamlessly. for what it's worth, the following discussion will highlight certain areas that require immediate attention and improvement. 1. Sometimes tab displayed above should ideally mirror the image shown below. Any discrepancy between the two is not acceptable. 2. The only fee that should show must be processing fee of $25… Maintain exchange rate …. Best rate</w:t>
      </w:r>
    </w:p>
    <w:p>
      <w:pPr>
        <w:spacing w:before="0" w:after="240" w:line="240" w:lineRule="auto"/>
      </w:pPr>
    </w:p>
    <w:p>
      <w:pPr>
        <w:spacing w:before="0" w:after="240" w:line="240" w:lineRule="auto"/>
      </w:pPr>
      <w:r>
        <w:t>Furthermore, 2. Two responsibilities are paramount here: the payment of the Student Sevis fee and the tuition fees. It seems that one of these obligations has not been fulfilled. can we get some clarity on this issue? 3. In the context of this project, the display should indicate that the transaction is being sent from Ghana to the US, not vice versa. 4. We have been informed that the services are currently not operational on mobile devices. When the platform is accessed via a mobile device, all functionalities that are available on a laptop should be equally accessible. As it stands, the Sevis fee payment, tuition fee payment, and remittances should all be readily accessible on mobile devices. Conclusion:</w:t>
      </w:r>
    </w:p>
    <w:p>
      <w:pPr>
        <w:spacing w:before="0" w:after="240" w:line="240" w:lineRule="auto"/>
      </w:pPr>
    </w:p>
    <w:p>
      <w:pPr>
        <w:spacing w:before="0" w:after="240" w:line="240" w:lineRule="auto"/>
      </w:pPr>
      <w:r>
        <w:t>---</w:t>
      </w:r>
    </w:p>
    <w:p>
      <w:pPr>
        <w:spacing w:before="0" w:after="240" w:line="240" w:lineRule="auto"/>
      </w:pPr>
    </w:p>
    <w:p>
      <w:pPr>
        <w:spacing w:before="0" w:after="240" w:line="240" w:lineRule="auto"/>
      </w:pPr>
      <w:r>
        <w:t>---</w:t>
      </w:r>
    </w:p>
    <w:p>
      <w:pPr>
        <w:spacing w:before="0" w:after="240" w:line="240" w:lineRule="auto"/>
      </w:pPr>
    </w:p>
    <w:p>
      <w:pPr>
        <w:spacing w:before="0" w:after="240" w:line="240" w:lineRule="auto"/>
      </w:pPr>
      <w:r>
        <w:t>---</w:t>
      </w:r>
    </w:p>
    <w:p>
      <w:pPr>
        <w:spacing w:before="0" w:after="240" w:line="240" w:lineRule="auto"/>
      </w:pPr>
    </w:p>
    <w:p>
      <w:pPr>
        <w:spacing w:before="0" w:after="240" w:line="240" w:lineRule="auto"/>
      </w:pPr>
      <w:r>
        <w:t>In addition, in order to provide a seamless and intuitive user experience, it is vital that we address these issues promptly. By ensuring our platform's consistent performance across all devices, we can serve our users more effectively and meet their needs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240" w:lineRule="auto"/>
    </w:pPr>
    <w:rPr>
      <w:rFonts w:ascii="Arial" w:hAnsi="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line="240" w:lineRule="auto"/>
      <w:outlineLvl w:val="0"/>
    </w:pPr>
    <w:rPr>
      <w:rFonts w:asciiTheme="majorHAnsi" w:eastAsiaTheme="majorEastAsia" w:hAnsiTheme="majorHAnsi" w:cstheme="majorBidi" w:ascii="Arial" w:hAnsi="Arial" w:eastAsia="Arial"/>
      <w:b w:val="0"/>
      <w:bCs/>
      <w:color w:val="2F5496"/>
      <w:sz w:val="40"/>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ascii="Arial" w:hAnsi="Arial" w:eastAsia="Arial"/>
      <w:b w:val="0"/>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Arial" w:hAnsi="Arial" w:eastAsia="Arial"/>
      <w:b/>
      <w:bCs/>
      <w:color w:val="2F549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