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Qualtrics Assignment #2 – Experimentation</w:t>
      </w:r>
    </w:p>
    <w:p>
      <w:pPr>
        <w:pStyle w:val="Author"/>
      </w:pPr>
      <w:r>
        <w:t xml:space="preserve">Frank Renn</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
    <w:p>
      <w:pPr>
        <w:pStyle w:val="Heading1"/>
      </w:pPr>
      <w:r>
        <w:t xml:space="preserve">1. Introduction</w:t>
      </w:r>
    </w:p>
    <w:p>
      <w:pPr>
        <w:pStyle w:val="FirstParagraph"/>
      </w:pPr>
      <w:r>
        <w:t xml:space="preserve">This report documents the changes completed for Qualtrics Assignment #2 – Experimentation. The report focuses on the required experimental random assignment, the improvement of Q2.2, and three additional questionnaire improvements.</w:t>
      </w:r>
    </w:p>
    <w:p>
      <w:pPr>
        <w:pStyle w:val="BodyText"/>
      </w:pPr>
      <w:r>
        <w:t xml:space="preserve">The wording of the existing survey questions was preserved. The changes described below focus on survey flow, question behavior, response options, and presentation settings.</w:t>
      </w:r>
    </w:p>
    <w:bookmarkEnd w:id="9"/>
    <w:bookmarkStart w:id="10" w:name="survey-structure"/>
    <w:p>
      <w:pPr>
        <w:pStyle w:val="Heading1"/>
      </w:pPr>
      <w:r>
        <w:t xml:space="preserve">2. Survey Structure</w:t>
      </w:r>
    </w:p>
    <w:p>
      <w:pPr>
        <w:pStyle w:val="FirstParagraph"/>
      </w:pPr>
      <w:r>
        <w:t xml:space="preserve">I reviewed the survey blocks and the questions within each block. The survey flow contains the following blocks:</w:t>
      </w:r>
    </w:p>
    <w:p>
      <w:pPr>
        <w:pStyle w:val="Compact"/>
        <w:numPr>
          <w:ilvl w:val="0"/>
          <w:numId w:val="1001"/>
        </w:numPr>
      </w:pPr>
      <w:r>
        <w:rPr>
          <w:rStyle w:val="VerbatimChar"/>
        </w:rPr>
        <w:t xml:space="preserve">Cover Page</w:t>
      </w:r>
    </w:p>
    <w:p>
      <w:pPr>
        <w:pStyle w:val="Compact"/>
        <w:numPr>
          <w:ilvl w:val="0"/>
          <w:numId w:val="1001"/>
        </w:numPr>
      </w:pPr>
      <w:r>
        <w:rPr>
          <w:rStyle w:val="VerbatimChar"/>
        </w:rPr>
        <w:t xml:space="preserve">Overall Social Media Experience</w:t>
      </w:r>
    </w:p>
    <w:p>
      <w:pPr>
        <w:pStyle w:val="Compact"/>
        <w:numPr>
          <w:ilvl w:val="0"/>
          <w:numId w:val="1001"/>
        </w:numPr>
      </w:pPr>
      <w:r>
        <w:rPr>
          <w:rStyle w:val="VerbatimChar"/>
        </w:rPr>
        <w:t xml:space="preserve">External Information Source</w:t>
      </w:r>
    </w:p>
    <w:p>
      <w:pPr>
        <w:pStyle w:val="Compact"/>
        <w:numPr>
          <w:ilvl w:val="0"/>
          <w:numId w:val="1001"/>
        </w:numPr>
      </w:pPr>
      <w:r>
        <w:rPr>
          <w:rStyle w:val="VerbatimChar"/>
        </w:rPr>
        <w:t xml:space="preserve">Opinion Leaders</w:t>
      </w:r>
    </w:p>
    <w:p>
      <w:pPr>
        <w:pStyle w:val="Compact"/>
        <w:numPr>
          <w:ilvl w:val="0"/>
          <w:numId w:val="1001"/>
        </w:numPr>
      </w:pPr>
      <w:r>
        <w:rPr>
          <w:rStyle w:val="VerbatimChar"/>
        </w:rPr>
        <w:t xml:space="preserve">social_media_review</w:t>
      </w:r>
    </w:p>
    <w:p>
      <w:pPr>
        <w:pStyle w:val="Compact"/>
        <w:numPr>
          <w:ilvl w:val="0"/>
          <w:numId w:val="1001"/>
        </w:numPr>
      </w:pPr>
      <w:r>
        <w:rPr>
          <w:rStyle w:val="VerbatimChar"/>
        </w:rPr>
        <w:t xml:space="preserve">ads</w:t>
      </w:r>
    </w:p>
    <w:p>
      <w:pPr>
        <w:pStyle w:val="Compact"/>
        <w:numPr>
          <w:ilvl w:val="0"/>
          <w:numId w:val="1001"/>
        </w:numPr>
      </w:pPr>
      <w:r>
        <w:rPr>
          <w:rStyle w:val="VerbatimChar"/>
        </w:rPr>
        <w:t xml:space="preserve">DV</w:t>
      </w:r>
    </w:p>
    <w:p>
      <w:pPr>
        <w:pStyle w:val="Compact"/>
        <w:numPr>
          <w:ilvl w:val="0"/>
          <w:numId w:val="1001"/>
        </w:numPr>
      </w:pPr>
      <w:r>
        <w:rPr>
          <w:rStyle w:val="VerbatimChar"/>
        </w:rPr>
        <w:t xml:space="preserve">Purchasing Behavior</w:t>
      </w:r>
    </w:p>
    <w:p>
      <w:pPr>
        <w:pStyle w:val="Compact"/>
        <w:numPr>
          <w:ilvl w:val="0"/>
          <w:numId w:val="1001"/>
        </w:numPr>
      </w:pPr>
      <w:r>
        <w:rPr>
          <w:rStyle w:val="VerbatimChar"/>
        </w:rPr>
        <w:t xml:space="preserve">Demographics</w:t>
      </w:r>
    </w:p>
    <w:p>
      <w:pPr>
        <w:pStyle w:val="FirstParagraph"/>
      </w:pPr>
      <w:r>
        <w:t xml:space="preserve">The fifth and sixth blocks are the two advertisement-treatment conditions. The seventh block,</w:t>
      </w:r>
      <w:r>
        <w:t xml:space="preserve"> </w:t>
      </w:r>
      <w:r>
        <w:rPr>
          <w:rStyle w:val="VerbatimChar"/>
        </w:rPr>
        <w:t xml:space="preserve">DV</w:t>
      </w:r>
      <w:r>
        <w:t xml:space="preserve">, contains the dependent-variable questions that should be answered by all participants after they see one advertisement condition.</w:t>
      </w:r>
    </w:p>
    <w:bookmarkEnd w:id="10"/>
    <w:bookmarkStart w:id="15" w:name="random-assignment-in-survey-flow"/>
    <w:p>
      <w:pPr>
        <w:pStyle w:val="Heading1"/>
      </w:pPr>
      <w:r>
        <w:t xml:space="preserve">3. Random Assignment in Survey Flow</w:t>
      </w:r>
    </w:p>
    <w:bookmarkStart w:id="11" w:name="purpose"/>
    <w:p>
      <w:pPr>
        <w:pStyle w:val="Heading2"/>
      </w:pPr>
      <w:r>
        <w:t xml:space="preserve">3.1 Purpose</w:t>
      </w:r>
    </w:p>
    <w:p>
      <w:pPr>
        <w:pStyle w:val="FirstParagraph"/>
      </w:pPr>
      <w:r>
        <w:t xml:space="preserve">The purpose of the Randomizer is to create a between-subjects experimental design. Each participant should see only one of the two advertisement conditions. The two conditions are:</w:t>
      </w:r>
    </w:p>
    <w:p>
      <w:pPr>
        <w:pStyle w:val="Compact"/>
        <w:numPr>
          <w:ilvl w:val="0"/>
          <w:numId w:val="1002"/>
        </w:numPr>
      </w:pPr>
      <w:r>
        <w:rPr>
          <w:rStyle w:val="VerbatimChar"/>
        </w:rPr>
        <w:t xml:space="preserve">social_media_review</w:t>
      </w:r>
    </w:p>
    <w:p>
      <w:pPr>
        <w:pStyle w:val="Compact"/>
        <w:numPr>
          <w:ilvl w:val="0"/>
          <w:numId w:val="1002"/>
        </w:numPr>
      </w:pPr>
      <w:r>
        <w:rPr>
          <w:rStyle w:val="VerbatimChar"/>
        </w:rPr>
        <w:t xml:space="preserve">ads</w:t>
      </w:r>
    </w:p>
    <w:p>
      <w:pPr>
        <w:pStyle w:val="FirstParagraph"/>
      </w:pPr>
      <w:r>
        <w:t xml:space="preserve">The</w:t>
      </w:r>
      <w:r>
        <w:t xml:space="preserve"> </w:t>
      </w:r>
      <w:r>
        <w:rPr>
          <w:rStyle w:val="VerbatimChar"/>
        </w:rPr>
        <w:t xml:space="preserve">DV</w:t>
      </w:r>
      <w:r>
        <w:t xml:space="preserve"> </w:t>
      </w:r>
      <w:r>
        <w:t xml:space="preserve">block appears after the Randomizer so that participants in both conditions answer the same dependent-variable questions.</w:t>
      </w:r>
    </w:p>
    <w:bookmarkEnd w:id="11"/>
    <w:bookmarkStart w:id="12" w:name="implementation"/>
    <w:p>
      <w:pPr>
        <w:pStyle w:val="Heading2"/>
      </w:pPr>
      <w:r>
        <w:t xml:space="preserve">3.2 Implementation</w:t>
      </w:r>
    </w:p>
    <w:p>
      <w:pPr>
        <w:pStyle w:val="FirstParagraph"/>
      </w:pPr>
      <w:r>
        <w:t xml:space="preserve">I added a Randomizer to the Survey Flow and configured it to:</w:t>
      </w:r>
    </w:p>
    <w:p>
      <w:pPr>
        <w:pStyle w:val="Compact"/>
        <w:numPr>
          <w:ilvl w:val="0"/>
          <w:numId w:val="1003"/>
        </w:numPr>
      </w:pPr>
      <w:r>
        <w:t xml:space="preserve">Randomly present</w:t>
      </w:r>
      <w:r>
        <w:t xml:space="preserve"> </w:t>
      </w:r>
      <w:r>
        <w:rPr>
          <w:rStyle w:val="VerbatimChar"/>
        </w:rPr>
        <w:t xml:space="preserve">1</w:t>
      </w:r>
      <w:r>
        <w:t xml:space="preserve"> </w:t>
      </w:r>
      <w:r>
        <w:t xml:space="preserve">of the following elements.</w:t>
      </w:r>
    </w:p>
    <w:p>
      <w:pPr>
        <w:pStyle w:val="Compact"/>
        <w:numPr>
          <w:ilvl w:val="0"/>
          <w:numId w:val="1003"/>
        </w:numPr>
      </w:pPr>
      <w:r>
        <w:t xml:space="preserve">Use</w:t>
      </w:r>
      <w:r>
        <w:t xml:space="preserve"> </w:t>
      </w:r>
      <w:r>
        <w:rPr>
          <w:b/>
          <w:bCs/>
        </w:rPr>
        <w:t xml:space="preserve">Evenly Present Elements</w:t>
      </w:r>
      <w:r>
        <w:t xml:space="preserve">.</w:t>
      </w:r>
    </w:p>
    <w:p>
      <w:pPr>
        <w:pStyle w:val="Compact"/>
        <w:numPr>
          <w:ilvl w:val="0"/>
          <w:numId w:val="1003"/>
        </w:numPr>
      </w:pPr>
      <w:r>
        <w:t xml:space="preserve">Present the</w:t>
      </w:r>
      <w:r>
        <w:t xml:space="preserve"> </w:t>
      </w:r>
      <w:r>
        <w:rPr>
          <w:rStyle w:val="VerbatimChar"/>
        </w:rPr>
        <w:t xml:space="preserve">social_media_review</w:t>
      </w:r>
      <w:r>
        <w:t xml:space="preserve"> </w:t>
      </w:r>
      <w:r>
        <w:t xml:space="preserve">block or the</w:t>
      </w:r>
      <w:r>
        <w:t xml:space="preserve"> </w:t>
      </w:r>
      <w:r>
        <w:rPr>
          <w:rStyle w:val="VerbatimChar"/>
        </w:rPr>
        <w:t xml:space="preserve">ads</w:t>
      </w:r>
      <w:r>
        <w:t xml:space="preserve"> </w:t>
      </w:r>
      <w:r>
        <w:t xml:space="preserve">block.</w:t>
      </w:r>
    </w:p>
    <w:p>
      <w:pPr>
        <w:pStyle w:val="Compact"/>
        <w:numPr>
          <w:ilvl w:val="0"/>
          <w:numId w:val="1003"/>
        </w:numPr>
      </w:pPr>
      <w:r>
        <w:t xml:space="preserve">Continue to the</w:t>
      </w:r>
      <w:r>
        <w:t xml:space="preserve"> </w:t>
      </w:r>
      <w:r>
        <w:rPr>
          <w:rStyle w:val="VerbatimChar"/>
        </w:rPr>
        <w:t xml:space="preserve">DV</w:t>
      </w:r>
      <w:r>
        <w:t xml:space="preserve"> </w:t>
      </w:r>
      <w:r>
        <w:t xml:space="preserve">block after the selected advertisement block.</w:t>
      </w:r>
    </w:p>
    <w:p>
      <w:pPr>
        <w:pStyle w:val="FirstParagraph"/>
      </w:pPr>
      <w:r>
        <w:t xml:space="preserve">The resulting logic is:</w:t>
      </w:r>
    </w:p>
    <w:p>
      <w:pPr>
        <w:pStyle w:val="SourceCode"/>
      </w:pPr>
      <w:r>
        <w:rPr>
          <w:rStyle w:val="VerbatimChar"/>
        </w:rPr>
        <w:t xml:space="preserve">Participant ID / Embedded Data</w:t>
      </w:r>
      <w:r>
        <w:br/>
      </w:r>
      <w:r>
        <w:rPr>
          <w:rStyle w:val="VerbatimChar"/>
        </w:rPr>
        <w:t xml:space="preserve">        ↓</w:t>
      </w:r>
      <w:r>
        <w:br/>
      </w:r>
      <w:r>
        <w:rPr>
          <w:rStyle w:val="VerbatimChar"/>
        </w:rPr>
        <w:t xml:space="preserve">Pre-treatment survey blocks</w:t>
      </w:r>
      <w:r>
        <w:br/>
      </w:r>
      <w:r>
        <w:rPr>
          <w:rStyle w:val="VerbatimChar"/>
        </w:rPr>
        <w:t xml:space="preserve">        ↓</w:t>
      </w:r>
      <w:r>
        <w:br/>
      </w:r>
      <w:r>
        <w:rPr>
          <w:rStyle w:val="VerbatimChar"/>
        </w:rPr>
        <w:t xml:space="preserve">Randomizer: present 1 condition evenly</w:t>
      </w:r>
      <w:r>
        <w:br/>
      </w:r>
      <w:r>
        <w:rPr>
          <w:rStyle w:val="VerbatimChar"/>
        </w:rPr>
        <w:t xml:space="preserve">        ├── social_media_review</w:t>
      </w:r>
      <w:r>
        <w:br/>
      </w:r>
      <w:r>
        <w:rPr>
          <w:rStyle w:val="VerbatimChar"/>
        </w:rPr>
        <w:t xml:space="preserve">        └── ads</w:t>
      </w:r>
      <w:r>
        <w:br/>
      </w:r>
      <w:r>
        <w:rPr>
          <w:rStyle w:val="VerbatimChar"/>
        </w:rPr>
        <w:t xml:space="preserve">        ↓</w:t>
      </w:r>
      <w:r>
        <w:br/>
      </w:r>
      <w:r>
        <w:rPr>
          <w:rStyle w:val="VerbatimChar"/>
        </w:rPr>
        <w:t xml:space="preserve">DV</w:t>
      </w:r>
      <w:r>
        <w:br/>
      </w:r>
      <w:r>
        <w:rPr>
          <w:rStyle w:val="VerbatimChar"/>
        </w:rPr>
        <w:t xml:space="preserve">        ↓</w:t>
      </w:r>
      <w:r>
        <w:br/>
      </w:r>
      <w:r>
        <w:rPr>
          <w:rStyle w:val="VerbatimChar"/>
        </w:rPr>
        <w:t xml:space="preserve">Purchasing Behavior</w:t>
      </w:r>
      <w:r>
        <w:br/>
      </w:r>
      <w:r>
        <w:rPr>
          <w:rStyle w:val="VerbatimChar"/>
        </w:rPr>
        <w:t xml:space="preserve">        ↓</w:t>
      </w:r>
      <w:r>
        <w:br/>
      </w:r>
      <w:r>
        <w:rPr>
          <w:rStyle w:val="VerbatimChar"/>
        </w:rPr>
        <w:t xml:space="preserve">Demographics</w:t>
      </w:r>
    </w:p>
    <w:bookmarkEnd w:id="12"/>
    <w:bookmarkStart w:id="13" w:name="survey-flow-screenshot"/>
    <w:p>
      <w:pPr>
        <w:pStyle w:val="Heading2"/>
      </w:pPr>
      <w:r>
        <w:t xml:space="preserve">3.3 Survey Flow Screenshot</w:t>
      </w:r>
    </w:p>
    <w:p>
      <w:pPr>
        <w:pStyle w:val="FirstParagraph"/>
      </w:pPr>
      <w:r>
        <w:t xml:space="preserve">The screenshot below documents the full Survey Flow, including the Embedded Data element, the Randomizer, both advertisement blocks, and the blocks that follow the treatment.</w:t>
      </w:r>
    </w:p>
    <w:tbl>
      <w:tblPr>
        <w:tblStyle w:val="FigureTable"/>
        <w:tblW w:type="auto" w:w="0"/>
        <w:jc w:val="center"/>
        <w:tblLook w:firstRow="0" w:lastRow="0" w:firstColumn="0" w:lastColumn="0"/>
      </w:tblPr>
      <w:tblGrid>
        <w:gridCol w:w="7920"/>
      </w:tblGrid>
      <w:tr>
        <w:tc>
          <w:tcPr/>
          <w:p>
            <w:pPr>
              <w:pStyle w:val="Compact"/>
              <w:jc w:val="center"/>
            </w:pPr>
            <w:r>
              <w:t xml:space="preserve">Complete Survey Flow</w:t>
            </w:r>
          </w:p>
        </w:tc>
      </w:tr>
    </w:tbl>
    <w:p>
      <w:pPr>
        <w:pStyle w:val="ImageCaption"/>
      </w:pPr>
      <w:r>
        <w:t xml:space="preserve">Complete Survey Flow</w:t>
      </w:r>
    </w:p>
    <w:bookmarkEnd w:id="13"/>
    <w:bookmarkStart w:id="14" w:name="testing"/>
    <w:p>
      <w:pPr>
        <w:pStyle w:val="Heading2"/>
      </w:pPr>
      <w:r>
        <w:t xml:space="preserve">3.4 Testing</w:t>
      </w:r>
    </w:p>
    <w:p>
      <w:pPr>
        <w:pStyle w:val="FirstParagraph"/>
      </w:pPr>
      <w:r>
        <w:t xml:space="preserve">I previewed the survey multiple times to verify the random assignment. The testing procedure was:</w:t>
      </w:r>
    </w:p>
    <w:p>
      <w:pPr>
        <w:pStyle w:val="Compact"/>
        <w:numPr>
          <w:ilvl w:val="0"/>
          <w:numId w:val="1004"/>
        </w:numPr>
      </w:pPr>
      <w:r>
        <w:t xml:space="preserve">Open the survey in Preview mode.</w:t>
      </w:r>
    </w:p>
    <w:p>
      <w:pPr>
        <w:pStyle w:val="Compact"/>
        <w:numPr>
          <w:ilvl w:val="0"/>
          <w:numId w:val="1004"/>
        </w:numPr>
      </w:pPr>
      <w:r>
        <w:t xml:space="preserve">Complete the survey several times.</w:t>
      </w:r>
    </w:p>
    <w:p>
      <w:pPr>
        <w:pStyle w:val="Compact"/>
        <w:numPr>
          <w:ilvl w:val="0"/>
          <w:numId w:val="1004"/>
        </w:numPr>
      </w:pPr>
      <w:r>
        <w:t xml:space="preserve">Record which advertisement condition appeared in each attempt.</w:t>
      </w:r>
    </w:p>
    <w:p>
      <w:pPr>
        <w:pStyle w:val="Compact"/>
        <w:numPr>
          <w:ilvl w:val="0"/>
          <w:numId w:val="1004"/>
        </w:numPr>
      </w:pPr>
      <w:r>
        <w:t xml:space="preserve">Confirm that each attempt displayed only one advertisement condition.</w:t>
      </w:r>
    </w:p>
    <w:p>
      <w:pPr>
        <w:pStyle w:val="Compact"/>
        <w:numPr>
          <w:ilvl w:val="0"/>
          <w:numId w:val="1004"/>
        </w:numPr>
      </w:pPr>
      <w:r>
        <w:t xml:space="preserve">Confirm that both conditions led to the same</w:t>
      </w:r>
      <w:r>
        <w:t xml:space="preserve"> </w:t>
      </w:r>
      <w:r>
        <w:rPr>
          <w:rStyle w:val="VerbatimChar"/>
        </w:rPr>
        <w:t xml:space="preserve">DV</w:t>
      </w:r>
      <w:r>
        <w:t xml:space="preserve"> </w:t>
      </w:r>
      <w:r>
        <w:t xml:space="preserve">block.</w:t>
      </w:r>
    </w:p>
    <w:bookmarkEnd w:id="14"/>
    <w:bookmarkEnd w:id="15"/>
    <w:bookmarkStart w:id="21" w:name="improvement-of-q2.2"/>
    <w:p>
      <w:pPr>
        <w:pStyle w:val="Heading1"/>
      </w:pPr>
      <w:r>
        <w:t xml:space="preserve">4. Improvement of Q2.2</w:t>
      </w:r>
    </w:p>
    <w:bookmarkStart w:id="16" w:name="problem"/>
    <w:p>
      <w:pPr>
        <w:pStyle w:val="Heading2"/>
      </w:pPr>
      <w:r>
        <w:t xml:space="preserve">4.1 Problem</w:t>
      </w:r>
    </w:p>
    <w:p>
      <w:pPr>
        <w:pStyle w:val="FirstParagraph"/>
      </w:pPr>
      <w:r>
        <w:t xml:space="preserve">The original design did not adequately measure usage time for every social-media platform used by a participant. A question about combined social-media usage would not show how much time the participant spent on each individual platform.</w:t>
      </w:r>
    </w:p>
    <w:bookmarkEnd w:id="16"/>
    <w:bookmarkStart w:id="17" w:name="method-used-carry-forward-statements"/>
    <w:p>
      <w:pPr>
        <w:pStyle w:val="Heading2"/>
      </w:pPr>
      <w:r>
        <w:t xml:space="preserve">4.2 Method Used: Carry Forward Statements</w:t>
      </w:r>
    </w:p>
    <w:p>
      <w:pPr>
        <w:pStyle w:val="FirstParagraph"/>
      </w:pPr>
      <w:r>
        <w:t xml:space="preserve">I used the Carry Forward method. First, the participant identifies the social-media platforms used. Then the selected platforms are carried forward as statements in Q2.2. The participant provides a separate usage-time response for each carried-forward platform.</w:t>
      </w:r>
    </w:p>
    <w:p>
      <w:pPr>
        <w:pStyle w:val="BodyText"/>
      </w:pPr>
      <w:r>
        <w:t xml:space="preserve">The existing question wording was kept exactly as it appears in the survey:</w:t>
      </w:r>
    </w:p>
    <w:p>
      <w:pPr>
        <w:pStyle w:val="BlockText"/>
      </w:pPr>
      <w:r>
        <w:t xml:space="preserve">Which of the following social media platforms have you used during the past seven days? Select all that apply.</w:t>
      </w:r>
    </w:p>
    <w:p>
      <w:pPr>
        <w:pStyle w:val="FirstParagraph"/>
      </w:pPr>
      <w:r>
        <w:t xml:space="preserve">The response format allows participants to select multiple platforms. Q2.2 uses</w:t>
      </w:r>
      <w:r>
        <w:t xml:space="preserve"> </w:t>
      </w:r>
      <w:r>
        <w:rPr>
          <w:b/>
          <w:bCs/>
        </w:rPr>
        <w:t xml:space="preserve">Carry Forward Statements</w:t>
      </w:r>
      <w:r>
        <w:t xml:space="preserve"> </w:t>
      </w:r>
      <w:r>
        <w:t xml:space="preserve">with the condition</w:t>
      </w:r>
      <w:r>
        <w:t xml:space="preserve"> </w:t>
      </w:r>
      <w:r>
        <w:rPr>
          <w:b/>
          <w:bCs/>
        </w:rPr>
        <w:t xml:space="preserve">Selected Choices</w:t>
      </w:r>
      <w:r>
        <w:t xml:space="preserve">. The selected platforms appear as rows in the matrix, while the time categories appear as the response columns.</w:t>
      </w:r>
    </w:p>
    <w:p>
      <w:pPr>
        <w:pStyle w:val="BodyText"/>
      </w:pPr>
      <w:r>
        <w:t xml:space="preserve">The existing Q2.2 wording was also preserved exactly:</w:t>
      </w:r>
    </w:p>
    <w:p>
      <w:pPr>
        <w:pStyle w:val="BlockText"/>
      </w:pPr>
      <w:r>
        <w:t xml:space="preserve">How often do you use social media platforms (e.g. Facebook, Instagram, Twitter, Snapchat)?</w:t>
      </w:r>
    </w:p>
    <w:p>
      <w:pPr>
        <w:pStyle w:val="FirstParagraph"/>
      </w:pPr>
      <w:r>
        <w:t xml:space="preserve">The matrix records a separate response for each selected platform using the available time categories.</w:t>
      </w:r>
    </w:p>
    <w:bookmarkEnd w:id="17"/>
    <w:bookmarkStart w:id="18" w:name="other-social-media-platforms"/>
    <w:p>
      <w:pPr>
        <w:pStyle w:val="Heading2"/>
      </w:pPr>
      <w:r>
        <w:t xml:space="preserve">4.3 Other Social-Media Platforms</w:t>
      </w:r>
    </w:p>
    <w:p>
      <w:pPr>
        <w:pStyle w:val="FirstParagraph"/>
      </w:pPr>
      <w:r>
        <w:t xml:space="preserve">Other social-media platforms are collected in a separate follow-up question. The existing wording was preserved exactly:</w:t>
      </w:r>
    </w:p>
    <w:p>
      <w:pPr>
        <w:pStyle w:val="BlockText"/>
      </w:pPr>
      <w:r>
        <w:t xml:space="preserve">Which other social media platforms have you used during the past seven days? Please list each platform in a separate box.</w:t>
      </w:r>
    </w:p>
    <w:p>
      <w:pPr>
        <w:pStyle w:val="FirstParagraph"/>
      </w:pPr>
      <w:r>
        <w:t xml:space="preserve">This question uses multiple single-line text fields. It is displayed when the participant selects</w:t>
      </w:r>
      <w:r>
        <w:t xml:space="preserve"> </w:t>
      </w:r>
      <w:r>
        <w:rPr>
          <w:rStyle w:val="VerbatimChar"/>
        </w:rPr>
        <w:t xml:space="preserve">Other</w:t>
      </w:r>
      <w:r>
        <w:t xml:space="preserve"> </w:t>
      </w:r>
      <w:r>
        <w:t xml:space="preserve">in the platform-use question.</w:t>
      </w:r>
    </w:p>
    <w:bookmarkEnd w:id="18"/>
    <w:bookmarkStart w:id="19" w:name="q2.2-screenshot"/>
    <w:p>
      <w:pPr>
        <w:pStyle w:val="Heading2"/>
      </w:pPr>
      <w:r>
        <w:t xml:space="preserve">4.4 Q2.2 Screenshot</w:t>
      </w:r>
    </w:p>
    <w:tbl>
      <w:tblPr>
        <w:tblStyle w:val="FigureTable"/>
        <w:tblW w:type="auto" w:w="0"/>
        <w:jc w:val="center"/>
        <w:tblLook w:firstRow="0" w:lastRow="0" w:firstColumn="0" w:lastColumn="0"/>
      </w:tblPr>
      <w:tblGrid>
        <w:gridCol w:w="7920"/>
      </w:tblGrid>
      <w:tr>
        <w:tc>
          <w:tcPr/>
          <w:p>
            <w:pPr>
              <w:pStyle w:val="Compact"/>
              <w:jc w:val="center"/>
            </w:pPr>
            <w:r>
              <w:t xml:space="preserve">Q2.2 Carry Forward Statements</w:t>
            </w:r>
          </w:p>
        </w:tc>
      </w:tr>
    </w:tbl>
    <w:p>
      <w:pPr>
        <w:pStyle w:val="ImageCaption"/>
      </w:pPr>
      <w:r>
        <w:t xml:space="preserve">Q2.2 Carry Forward Statements</w:t>
      </w:r>
    </w:p>
    <w:bookmarkEnd w:id="19"/>
    <w:bookmarkStart w:id="20" w:name="verification"/>
    <w:p>
      <w:pPr>
        <w:pStyle w:val="Heading2"/>
      </w:pPr>
      <w:r>
        <w:t xml:space="preserve">4.5 Verification</w:t>
      </w:r>
    </w:p>
    <w:p>
      <w:pPr>
        <w:pStyle w:val="FirstParagraph"/>
      </w:pPr>
      <w:r>
        <w:t xml:space="preserve">I verified the following:</w:t>
      </w:r>
    </w:p>
    <w:p>
      <w:pPr>
        <w:pStyle w:val="Compact"/>
        <w:numPr>
          <w:ilvl w:val="0"/>
          <w:numId w:val="1005"/>
        </w:numPr>
      </w:pPr>
      <w:r>
        <w:t xml:space="preserve">The platform-use question allows multiple answers.</w:t>
      </w:r>
    </w:p>
    <w:p>
      <w:pPr>
        <w:pStyle w:val="Compact"/>
        <w:numPr>
          <w:ilvl w:val="0"/>
          <w:numId w:val="1005"/>
        </w:numPr>
      </w:pPr>
      <w:r>
        <w:t xml:space="preserve">Carry Forward Statements is used for the matrix rows.</w:t>
      </w:r>
    </w:p>
    <w:p>
      <w:pPr>
        <w:pStyle w:val="Compact"/>
        <w:numPr>
          <w:ilvl w:val="0"/>
          <w:numId w:val="1005"/>
        </w:numPr>
      </w:pPr>
      <w:r>
        <w:t xml:space="preserve">The matrix contains a separate row for each selected platform.</w:t>
      </w:r>
    </w:p>
    <w:p>
      <w:pPr>
        <w:pStyle w:val="Compact"/>
        <w:numPr>
          <w:ilvl w:val="0"/>
          <w:numId w:val="1005"/>
        </w:numPr>
      </w:pPr>
      <w:r>
        <w:t xml:space="preserve">Participants who select</w:t>
      </w:r>
      <w:r>
        <w:t xml:space="preserve"> </w:t>
      </w:r>
      <w:r>
        <w:rPr>
          <w:rStyle w:val="VerbatimChar"/>
        </w:rPr>
        <w:t xml:space="preserve">I do not use social media</w:t>
      </w:r>
      <w:r>
        <w:t xml:space="preserve"> </w:t>
      </w:r>
      <w:r>
        <w:t xml:space="preserve">do not proceed through the platform-usage matrix.</w:t>
      </w:r>
    </w:p>
    <w:p>
      <w:pPr>
        <w:pStyle w:val="Compact"/>
        <w:numPr>
          <w:ilvl w:val="0"/>
          <w:numId w:val="1005"/>
        </w:numPr>
      </w:pPr>
      <w:r>
        <w:t xml:space="preserve">The separate Other-platform question appears only when</w:t>
      </w:r>
      <w:r>
        <w:t xml:space="preserve"> </w:t>
      </w:r>
      <w:r>
        <w:rPr>
          <w:rStyle w:val="VerbatimChar"/>
        </w:rPr>
        <w:t xml:space="preserve">Other</w:t>
      </w:r>
      <w:r>
        <w:t xml:space="preserve"> </w:t>
      </w:r>
      <w:r>
        <w:t xml:space="preserve">is selected.</w:t>
      </w:r>
    </w:p>
    <w:p>
      <w:pPr>
        <w:pStyle w:val="FirstParagraph"/>
      </w:pPr>
      <w:r>
        <w:t xml:space="preserve">Before final submission, I will confirm that the</w:t>
      </w:r>
      <w:r>
        <w:t xml:space="preserve"> </w:t>
      </w:r>
      <w:r>
        <w:rPr>
          <w:rStyle w:val="VerbatimChar"/>
        </w:rPr>
        <w:t xml:space="preserve">Other</w:t>
      </w:r>
      <w:r>
        <w:t xml:space="preserve"> </w:t>
      </w:r>
      <w:r>
        <w:t xml:space="preserve">and</w:t>
      </w:r>
      <w:r>
        <w:t xml:space="preserve"> </w:t>
      </w:r>
      <w:r>
        <w:rPr>
          <w:rStyle w:val="VerbatimChar"/>
        </w:rPr>
        <w:t xml:space="preserve">I do not use social media</w:t>
      </w:r>
      <w:r>
        <w:t xml:space="preserve"> </w:t>
      </w:r>
      <w:r>
        <w:t xml:space="preserve">choices are not incorrectly included as regular rows in Q2.2.</w:t>
      </w:r>
    </w:p>
    <w:bookmarkEnd w:id="20"/>
    <w:bookmarkEnd w:id="21"/>
    <w:bookmarkStart w:id="25" w:name="Xb76769a7a220c7fa0fbc81f9dda1862b9b5e148"/>
    <w:p>
      <w:pPr>
        <w:pStyle w:val="Heading1"/>
      </w:pPr>
      <w:r>
        <w:t xml:space="preserve">5. Three Additional Questionnaire Improvements</w:t>
      </w:r>
    </w:p>
    <w:p>
      <w:pPr>
        <w:pStyle w:val="FirstParagraph"/>
      </w:pPr>
      <w:r>
        <w:t xml:space="preserve">The following three improvements can be implemented without changing the wording of the existing survey questions.</w:t>
      </w:r>
    </w:p>
    <w:bookmarkStart w:id="22" w:name="Xf10047e44f10f6400f6b77f9d61b1d8fbbae0ae"/>
    <w:p>
      <w:pPr>
        <w:pStyle w:val="Heading2"/>
      </w:pPr>
      <w:r>
        <w:t xml:space="preserve">5.1 1. Add “Prefer not to answer” to sensitive demographic questions</w:t>
      </w:r>
    </w:p>
    <w:p>
      <w:pPr>
        <w:pStyle w:val="FirstParagraph"/>
      </w:pPr>
      <w:r>
        <w:t xml:space="preserve">I added a</w:t>
      </w:r>
      <w:r>
        <w:t xml:space="preserve"> </w:t>
      </w:r>
      <w:r>
        <w:rPr>
          <w:rStyle w:val="VerbatimChar"/>
        </w:rPr>
        <w:t xml:space="preserve">Prefer not to answer</w:t>
      </w:r>
      <w:r>
        <w:t xml:space="preserve"> </w:t>
      </w:r>
      <w:r>
        <w:t xml:space="preserve">response option to sensitive demographic questions, such as questions about gender, income, or other personal characteristics. This option gives participants control over whether they disclose sensitive information and reduces the chance that a participant will abandon the survey.</w:t>
      </w:r>
    </w:p>
    <w:p>
      <w:pPr>
        <w:pStyle w:val="BodyText"/>
      </w:pPr>
      <w:r>
        <w:t xml:space="preserve">This improvement changes only the available response options. It does not change the wording of the existing questions.</w:t>
      </w:r>
    </w:p>
    <w:bookmarkEnd w:id="22"/>
    <w:bookmarkStart w:id="23" w:name="X711ba64c12523d1ad2a2b3c8b3339ecb2babbf1"/>
    <w:p>
      <w:pPr>
        <w:pStyle w:val="Heading2"/>
      </w:pPr>
      <w:r>
        <w:t xml:space="preserve">5.2 2. Add “Not applicable” where a matrix question may not apply</w:t>
      </w:r>
    </w:p>
    <w:p>
      <w:pPr>
        <w:pStyle w:val="FirstParagraph"/>
      </w:pPr>
      <w:r>
        <w:t xml:space="preserve">I added a</w:t>
      </w:r>
      <w:r>
        <w:t xml:space="preserve"> </w:t>
      </w:r>
      <w:r>
        <w:rPr>
          <w:rStyle w:val="VerbatimChar"/>
        </w:rPr>
        <w:t xml:space="preserve">Not applicable</w:t>
      </w:r>
      <w:r>
        <w:t xml:space="preserve"> </w:t>
      </w:r>
      <w:r>
        <w:t xml:space="preserve">response option to matrix questions when a participant may not have enough experience to evaluate an item. This prevents participants from selecting an inaccurate answer simply because the question requires a response.</w:t>
      </w:r>
    </w:p>
    <w:p>
      <w:pPr>
        <w:pStyle w:val="BodyText"/>
      </w:pPr>
      <w:r>
        <w:t xml:space="preserve">This improvement makes the response choices more complete while preserving the wording of the existing questions.</w:t>
      </w:r>
    </w:p>
    <w:bookmarkEnd w:id="23"/>
    <w:bookmarkStart w:id="24" w:name="X0d8c5a7f216384c0c3b1c0ae26b558542c45dbf"/>
    <w:p>
      <w:pPr>
        <w:pStyle w:val="Heading2"/>
      </w:pPr>
      <w:r>
        <w:t xml:space="preserve">5.3 3. Improve survey presentation with a progress bar and mobile-friendly formatting</w:t>
      </w:r>
    </w:p>
    <w:p>
      <w:pPr>
        <w:pStyle w:val="FirstParagraph"/>
      </w:pPr>
      <w:r>
        <w:t xml:space="preserve">I enabled the survey progress bar so participants can see how much of the questionnaire remains. I also reviewed the survey in Preview mode and adjusted the presentation for easier reading on smaller screens, especially for matrix questions.</w:t>
      </w:r>
    </w:p>
    <w:p>
      <w:pPr>
        <w:pStyle w:val="BodyText"/>
      </w:pPr>
      <w:r>
        <w:t xml:space="preserve">These presentation improvements reduce respondent uncertainty and make the questionnaire easier to complete without changing any survey-question wording.</w:t>
      </w:r>
    </w:p>
    <w:bookmarkEnd w:id="24"/>
    <w:bookmarkEnd w:id="25"/>
    <w:bookmarkStart w:id="26" w:name="conclusion"/>
    <w:p>
      <w:pPr>
        <w:pStyle w:val="Heading1"/>
      </w:pPr>
      <w:r>
        <w:t xml:space="preserve">6. Conclusion</w:t>
      </w:r>
    </w:p>
    <w:p>
      <w:pPr>
        <w:pStyle w:val="FirstParagraph"/>
      </w:pPr>
      <w:r>
        <w:t xml:space="preserve">The survey now uses random assignment to compare the</w:t>
      </w:r>
      <w:r>
        <w:t xml:space="preserve"> </w:t>
      </w:r>
      <w:r>
        <w:rPr>
          <w:rStyle w:val="VerbatimChar"/>
        </w:rPr>
        <w:t xml:space="preserve">social_media_review</w:t>
      </w:r>
      <w:r>
        <w:t xml:space="preserve"> </w:t>
      </w:r>
      <w:r>
        <w:t xml:space="preserve">and</w:t>
      </w:r>
      <w:r>
        <w:t xml:space="preserve"> </w:t>
      </w:r>
      <w:r>
        <w:rPr>
          <w:rStyle w:val="VerbatimChar"/>
        </w:rPr>
        <w:t xml:space="preserve">ads</w:t>
      </w:r>
      <w:r>
        <w:t xml:space="preserve"> </w:t>
      </w:r>
      <w:r>
        <w:t xml:space="preserve">conditions. The</w:t>
      </w:r>
      <w:r>
        <w:t xml:space="preserve"> </w:t>
      </w:r>
      <w:r>
        <w:rPr>
          <w:rStyle w:val="VerbatimChar"/>
        </w:rPr>
        <w:t xml:space="preserve">DV</w:t>
      </w:r>
      <w:r>
        <w:t xml:space="preserve"> </w:t>
      </w:r>
      <w:r>
        <w:t xml:space="preserve">block follows the Randomizer so that all participants answer the same dependent-variable questions. Q2.2 uses Carry Forward Statements to measure social-media usage separately for each selected platform, while other platforms are collected in a separate follow-up question. In addition, I improved the questionnaire by adding response options for sensitive or non-applicable questions and improving the survey presentation.</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Qualtrics Assignment #2 – Experimentation</dc:title>
  <dc:creator>Frank Renn</dc:creator>
  <cp:keywords/>
  <dcterms:created xsi:type="dcterms:W3CDTF">2026-09-30T21:33:57Z</dcterms:created>
  <dcterms:modified xsi:type="dcterms:W3CDTF">2026-09-30T21:33:57Z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2026-09-30</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