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rPr>
          <w:rFonts w:ascii="Arial" w:cs="Arial" w:eastAsia="Arial" w:hAnsi="Arial"/>
          <w:b/>
          <w:bCs/>
          <w:color w:val="1F4E79"/>
          <w:sz w:val="56"/>
          <w:szCs w:val="56"/>
        </w:rPr>
        <w:t xml:space="preserve">TM1 Apportionment Module</w:t>
      </w:r>
    </w:p>
    <w:p>
      <w:pPr>
        <w:spacing w:before="0" w:after="480"/>
      </w:pPr>
      <w:r>
        <w:rPr>
          <w:rFonts w:ascii="Arial" w:cs="Arial" w:eastAsia="Arial" w:hAnsi="Arial"/>
          <w:b/>
          <w:bCs/>
          <w:color w:val="2E75B6"/>
          <w:sz w:val="40"/>
          <w:szCs w:val="40"/>
        </w:rPr>
        <w:t xml:space="preserve">Design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4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 March 2026</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24.04 LTS — Development Rig</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TM1 Server</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IBM Planning Analytics V12 (on-prem)</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~/apps/tm1_apportionment/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 Complete — Model built and live in PAW</w:t>
            </w:r>
          </w:p>
        </w:tc>
      </w:tr>
    </w:tbl>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 Overview</w:t>
      </w:r>
    </w:p>
    <w:p>
      <w:pPr>
        <w:spacing w:before="60" w:after="60"/>
      </w:pPr>
      <w:r>
        <w:rPr>
          <w:rFonts w:ascii="Arial" w:cs="Arial" w:eastAsia="Arial" w:hAnsi="Arial"/>
          <w:sz w:val="22"/>
          <w:szCs w:val="22"/>
        </w:rPr>
        <w:t xml:space="preserve">The TM1 Apportionment Module implements Activity Based Costing (ABC) for IBM Planning Analytics V12. It is a standalone Python/TM1 application that builds and manages the full CST cube set, dimensions, and apportionment configuration.</w:t>
      </w:r>
    </w:p>
    <w:p>
      <w:pPr>
        <w:spacing w:before="60" w:after="60"/>
      </w:pPr>
      <w:r>
        <w:rPr>
          <w:rFonts w:ascii="Arial" w:cs="Arial" w:eastAsia="Arial" w:hAnsi="Arial"/>
          <w:sz w:val="22"/>
          <w:szCs w:val="22"/>
        </w:rPr>
        <w:t xml:space="preserve">The model is designed to be generic across industries — not healthcare-specific. It handles the full apportionment cascade from GL overhead costs through to service line unit costs, including iterative reciprocal apportionment at both pool and activity level.</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1.1 Terminology</w:t>
      </w:r>
    </w:p>
    <w:p>
      <w:pPr>
        <w:spacing w:before="60" w:after="60"/>
      </w:pPr>
      <w:r>
        <w:rPr>
          <w:rFonts w:ascii="Arial" w:cs="Arial" w:eastAsia="Arial" w:hAnsi="Arial"/>
          <w:sz w:val="22"/>
          <w:szCs w:val="22"/>
        </w:rPr>
        <w:t xml:space="preserve">Apportionment is the correct term throughout this model — not Allocation.</w:t>
      </w:r>
    </w:p>
    <w:p>
      <w:pPr>
        <w:spacing w:before="60" w:after="60"/>
      </w:pPr>
      <w:r>
        <w:rPr>
          <w:rFonts w:ascii="Arial" w:cs="Arial" w:eastAsia="Arial" w:hAnsi="Arial"/>
          <w:sz w:val="22"/>
          <w:szCs w:val="22"/>
        </w:rPr>
        <w:t xml:space="preserve">Apportionment means distributing a shared cost across multiple cost objects using a chosen driver basis. Some apportionments are direct (100% to one pool) but the term apportionment is used consistently for accuracy and audit transparency.</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1.2 Three-Repo Architecture</w:t>
      </w:r>
    </w:p>
    <w:p>
      <w:pPr>
        <w:spacing w:before="60" w:after="60"/>
      </w:pPr>
      <w:r>
        <w:rPr>
          <w:rFonts w:ascii="Arial" w:cs="Arial" w:eastAsia="Arial" w:hAnsi="Arial"/>
          <w:sz w:val="22"/>
          <w:szCs w:val="22"/>
        </w:rPr>
        <w:t xml:space="preserve">The model sits in a three-repo environment, each completely standalone with no cross-repo imports: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Repository</w:t>
            </w:r>
          </w:p>
        </w:tc>
        <w:tc>
          <w:tcPr>
            <w:tcW w:type="dxa" w:w="4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Builds First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~/apps/tm1_global/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GBL foundation — Account, Department, Period, Version, Currency, Assumptions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must exist before CST build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~/apps/tm1_apportionment/</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CST apportionment module — this document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Depends on GBL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~/apps/tm1_governance/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TM1 Governance Suite — visibility and monitoring Flask 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Independent</w:t>
            </w:r>
          </w:p>
        </w:tc>
      </w:tr>
    </w:tbl>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2. Design Decisions</w:t>
      </w:r>
    </w:p>
    <w:p>
      <w:pPr>
        <w:spacing w:before="60" w:after="60"/>
      </w:pPr>
      <w:r>
        <w:rPr>
          <w:rFonts w:ascii="Arial" w:cs="Arial" w:eastAsia="Arial" w:hAnsi="Arial"/>
          <w:sz w:val="22"/>
          <w:szCs w:val="22"/>
        </w:rPr>
        <w:t xml:space="preserve">The following decisions were made during the design phase and are captured here as the authoritative record.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9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52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Allocation vs Apportionment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Apportionment throughout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Costs are shared not directly traced. Consistent terminology for audit accuracy.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Reciprocal method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Iterative exact matrix solver</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Industry standard. More accurate than stepped cascade. Handles mutual department dependencies.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 to Activity apportionment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 — Stage 2b</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in knowledge/process industries (software, professional services, healthcare). Any org where activities interact within a process needs 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Cross-period interactions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Deferred to Phase 3</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activities interact across time periods the same-period loop breaks down. Requires prior period actual volumes as driver. Complex — low priority for initial build.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 in intermediate cubes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 currency only</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Conversion at GL Input stage. Keeps reciprocal solver maths simple. No currency complexity inside iterative loops.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Allocation engine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NumPy + Flask</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 cannot iterate to convergence. NumPy solves reciprocal exactly via matrix inversion. Python is testable and version-controlled.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 to Python trigger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ExecuteHttpRequest to Flask</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ExecuteCommand removed in TM1 V12. HTTP is the only valid external trigger mechanism.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 isolation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Fully standalone</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Clean separation. Each repo has own CLAUDE.md, config, connection files. No cross-imports.</w:t>
            </w:r>
          </w:p>
        </w:tc>
      </w:tr>
    </w:tbl>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3. Apportionment Stages</w:t>
      </w:r>
    </w:p>
    <w:p>
      <w:pPr>
        <w:spacing w:before="60" w:after="60"/>
      </w:pPr>
      <w:r>
        <w:rPr>
          <w:rFonts w:ascii="Arial" w:cs="Arial" w:eastAsia="Arial" w:hAnsi="Arial"/>
          <w:sz w:val="22"/>
          <w:szCs w:val="22"/>
        </w:rPr>
        <w:t xml:space="preserve">The model implements a six-stage apportionment cascade. Stages 1b and 2b use iterative reciprocal apportionment solved via NumPy matrix inversion.</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2000"/>
        <w:gridCol w:w="1800"/>
        <w:gridCol w:w="1640"/>
      </w:tblGrid>
      <w:tr>
        <w:trPr>
          <w:tblHeader/>
        </w:trPr>
        <w:tc>
          <w:tcPr>
            <w:tcW w:type="dxa" w:w="72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16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 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system</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GL Input cube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 to Cost Pool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Apportionment via Config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 Accounts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 Pools (CP01–CP09)</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 to Pool (reciprocal)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Matrix inversion — iterative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 Pools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 Pools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Pool to Activity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Apportionment via Pool Driver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 Pools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Activities (A01–A11)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 to Activity (reciprocal)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Matrix inversion — iterative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Activities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 Activities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Activity to Service Line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Apportionment via Activity Driver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Activities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Lines (SL01–SL08)</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P&amp;L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 vs Post comparison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stages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Profit and Loss Report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Reconciliation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 in = cost out per stage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stages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CST Apportionment Reconciliation</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3.1 Why Reciprocal at Two Levels</w:t>
      </w:r>
    </w:p>
    <w:p>
      <w:pPr>
        <w:spacing w:before="60" w:after="60"/>
      </w:pPr>
      <w:r>
        <w:rPr>
          <w:rFonts w:ascii="Arial" w:cs="Arial" w:eastAsia="Arial" w:hAnsi="Arial"/>
          <w:sz w:val="22"/>
          <w:szCs w:val="22"/>
        </w:rPr>
        <w:t xml:space="preserve">Stage 1b handles support departments that recharge each other — e.g. Facilities costs are partially driven by Sterilisation, and Sterilisation costs are partially driven by Facilities. A one-pass stepped cascade systematically under-apportions the first pool processed.</w:t>
      </w:r>
    </w:p>
    <w:p>
      <w:pPr>
        <w:spacing w:before="60" w:after="60"/>
      </w:pPr>
      <w:r>
        <w:rPr>
          <w:rFonts w:ascii="Arial" w:cs="Arial" w:eastAsia="Arial" w:hAnsi="Arial"/>
          <w:sz w:val="22"/>
          <w:szCs w:val="22"/>
        </w:rPr>
        <w:t xml:space="preserve">Stage 2b handles activities that interact within a process — e.g. Code Review and Feature Development in a software company, or QA Testing and Bug Fixing. These are genuinely circular within a delivery cycle and require the same treatment as the pool level.</w:t>
      </w:r>
    </w:p>
    <w:p>
      <w:pPr>
        <w:spacing w:before="60" w:after="60"/>
      </w:pPr>
      <w:r>
        <w:rPr>
          <w:rFonts w:ascii="Arial" w:cs="Arial" w:eastAsia="Arial" w:hAnsi="Arial"/>
          <w:sz w:val="22"/>
          <w:szCs w:val="22"/>
        </w:rPr>
        <w:t xml:space="preserve">The exact matrix solution is:</w:t>
      </w:r>
    </w:p>
    <w:p>
      <w:pPr>
        <w:spacing w:before="120" w:after="120"/>
        <w:ind w:left="720"/>
      </w:pPr>
      <w:r>
        <w:rPr>
          <w:rFonts w:ascii="Courier New" w:cs="Courier New" w:eastAsia="Courier New" w:hAnsi="Courier New"/>
          <w:b/>
          <w:bCs/>
          <w:color w:val="1F4E79"/>
          <w:sz w:val="24"/>
          <w:szCs w:val="24"/>
        </w:rPr>
        <w:t xml:space="preserve">    C = (I − A)⁻¹ × d</w:t>
      </w:r>
    </w:p>
    <w:p>
      <w:pPr>
        <w:spacing w:before="60" w:after="60"/>
      </w:pPr>
      <w:r>
        <w:rPr>
          <w:rFonts w:ascii="Arial" w:cs="Arial" w:eastAsia="Arial" w:hAnsi="Arial"/>
          <w:sz w:val="22"/>
          <w:szCs w:val="22"/>
        </w:rPr>
        <w:t xml:space="preserve">Where d is the direct cost vector, A is the cross-apportionment percentage matrix, and C is the total cost vector after reciprocal apportionment. NumPy solves this in a single call with no iteration needed.</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3.2 Activity to Activity — When It Applies</w:t>
      </w:r>
    </w:p>
    <w:p>
      <w:pPr>
        <w:spacing w:before="60" w:after="60"/>
      </w:pPr>
      <w:r>
        <w:rPr>
          <w:rFonts w:ascii="Arial" w:cs="Arial" w:eastAsia="Arial" w:hAnsi="Arial"/>
          <w:sz w:val="22"/>
          <w:szCs w:val="22"/>
        </w:rPr>
        <w:t xml:space="preserve">Activity to Activity reciprocal apportionment applies when two activities are interdependent within a process — not simply because they exist in the same organisation. Examples across industries:</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560"/>
      </w:tblGrid>
      <w:tr>
        <w:trPr>
          <w:tblHeader/>
        </w:trPr>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Industry</w:t>
            </w:r>
          </w:p>
        </w:tc>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 A</w:t>
            </w:r>
          </w:p>
        </w:tc>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 B</w:t>
            </w:r>
          </w:p>
        </w:tc>
        <w:tc>
          <w:tcPr>
            <w:tcW w:type="dxa" w:w="2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Review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writes code, review generates rework, rework drives more review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Software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QA Testing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Bug Fixing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Testing generates bugs, fixing drives re-testing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Consultants consume research, field findings feed research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Healthcare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Diagnostics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Treatment Planning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Diagnosis informs treatment, outcomes refine diagnostic protocols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Manufacturing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feeds prototyping, prototype testing feeds design revisions</w:t>
            </w:r>
          </w:p>
        </w:tc>
      </w:tr>
    </w:tbl>
    <w:p>
      <w:pPr>
        <w:spacing w:before="60" w:after="60"/>
        <w:ind w:left="360"/>
      </w:pPr>
      <w:r>
        <w:rPr>
          <w:rFonts w:ascii="Arial" w:cs="Arial" w:eastAsia="Arial" w:hAnsi="Arial"/>
          <w:i/>
          <w:iCs/>
          <w:color w:val="666666"/>
          <w:sz w:val="20"/>
          <w:szCs w:val="20"/>
        </w:rPr>
        <w:t xml:space="preserve">Note: Activity to Activity is not needed in simple linear production environments where activities are genuinely sequential with no feedback loops.</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4. Cube Inventory</w:t>
      </w:r>
    </w:p>
    <w:p>
      <w:pPr>
        <w:spacing w:before="60" w:after="60"/>
      </w:pPr>
      <w:r>
        <w:rPr>
          <w:rFonts w:ascii="Arial" w:cs="Arial" w:eastAsia="Arial" w:hAnsi="Arial"/>
          <w:sz w:val="22"/>
          <w:szCs w:val="22"/>
        </w:rPr>
        <w:t xml:space="preserve">The model contains 13 cubes. All cubes follow the standard dimension order: GBL Period → GBL Version → Business dimensions → Measure dimension last.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00"/>
        <w:gridCol w:w="5080"/>
      </w:tblGrid>
      <w:tr>
        <w:trPr>
          <w:tblHeader/>
        </w:trPr>
        <w:tc>
          <w:tcPr>
            <w:tcW w:type="dxa" w:w="10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Cube Name</w:t>
            </w:r>
          </w:p>
        </w:tc>
        <w:tc>
          <w:tcPr>
            <w:tcW w:type="dxa" w:w="50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Input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GL Input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Version, Account, Department, Measure</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CST Apportionment Config</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Period, Version, Config Item, Account, Measure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Cost Pool Apportionment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Version, Cost Pool, Account, Measure</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1b</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CST Pool to Pool Apportionment</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Period, Version, Cost Pool, Cost Pool Dest, Measure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Pool to Pool Driver</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Version, Cost Pool, Cost Pool Dest, Measure</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CST Activity Apportionment</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Period, Version, Activity, Cost Pool, Measure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Pool Driver</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Version, Cost Pool, Activity, Measure</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2b</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CST Activity to Activity Apportionment</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Period, Version, Activity, Activity Dest, Measure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Activity to Activity Driver</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Version, Activity, Activity Dest, Measure</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CST Service Line Cost</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Period, Version, Service Line, Activity, Measure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Activity Driver</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Version, Activity, Service Line, Measure</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Output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CST Profit and Loss Report</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Period, Version, Account, Service Line, Apportionment Stage, Measure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Apportionment Reconciliation</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Version, Reconciliation Check, Measure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4.1 Dimension Order Standard</w:t>
      </w:r>
    </w:p>
    <w:p>
      <w:pPr>
        <w:spacing w:before="60" w:after="60"/>
      </w:pPr>
      <w:r>
        <w:rPr>
          <w:rFonts w:ascii="Arial" w:cs="Arial" w:eastAsia="Arial" w:hAnsi="Arial"/>
          <w:sz w:val="22"/>
          <w:szCs w:val="22"/>
        </w:rPr>
        <w:t xml:space="preserve">Period and Version are always dimensions 1 and 2 on every cube. This is intentional and non-negotiable. It ensures:</w:t>
      </w:r>
    </w:p>
    <w:p>
      <w:pPr>
        <w:pStyle w:val="ListParagraph"/>
        <w:numPr>
          <w:ilvl w:val="0"/>
          <w:numId w:val="2"/>
        </w:numPr>
        <w:spacing w:before="40" w:after="40"/>
      </w:pPr>
      <w:r>
        <w:rPr>
          <w:rFonts w:ascii="Arial" w:cs="Arial" w:eastAsia="Arial" w:hAnsi="Arial"/>
          <w:sz w:val="22"/>
          <w:szCs w:val="22"/>
        </w:rPr>
        <w:t xml:space="preserve">TI processes always know where Period and Version are without cube-specific logic</w:t>
      </w:r>
    </w:p>
    <w:p>
      <w:pPr>
        <w:pStyle w:val="ListParagraph"/>
        <w:numPr>
          <w:ilvl w:val="0"/>
          <w:numId w:val="2"/>
        </w:numPr>
        <w:spacing w:before="40" w:after="40"/>
      </w:pPr>
      <w:r>
        <w:rPr>
          <w:rFonts w:ascii="Arial" w:cs="Arial" w:eastAsia="Arial" w:hAnsi="Arial"/>
          <w:sz w:val="22"/>
          <w:szCs w:val="22"/>
        </w:rPr>
        <w:t xml:space="preserve">Rules referencing these dimensions are predictable across all cubes</w:t>
      </w:r>
    </w:p>
    <w:p>
      <w:pPr>
        <w:pStyle w:val="ListParagraph"/>
        <w:numPr>
          <w:ilvl w:val="0"/>
          <w:numId w:val="2"/>
        </w:numPr>
        <w:spacing w:before="40" w:after="40"/>
      </w:pPr>
      <w:r>
        <w:rPr>
          <w:rFonts w:ascii="Arial" w:cs="Arial" w:eastAsia="Arial" w:hAnsi="Arial"/>
          <w:sz w:val="22"/>
          <w:szCs w:val="22"/>
        </w:rPr>
        <w:t xml:space="preserve">PAW views open with the correct default slice without manual configuration</w:t>
      </w:r>
    </w:p>
    <w:p>
      <w:pPr>
        <w:pStyle w:val="ListParagraph"/>
        <w:numPr>
          <w:ilvl w:val="0"/>
          <w:numId w:val="2"/>
        </w:numPr>
        <w:spacing w:before="40" w:after="40"/>
      </w:pPr>
      <w:r>
        <w:rPr>
          <w:rFonts w:ascii="Arial" w:cs="Arial" w:eastAsia="Arial" w:hAnsi="Arial"/>
          <w:sz w:val="22"/>
          <w:szCs w:val="22"/>
        </w:rPr>
        <w:t xml:space="preserve">The model reads consistently — any developer can orient themselves immediately</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5. Dimension Inventory</w:t>
      </w:r>
    </w:p>
    <w:p>
      <w:pPr>
        <w:pStyle w:val="Heading2"/>
        <w:spacing w:before="240" w:after="80"/>
      </w:pPr>
      <w:r>
        <w:rPr>
          <w:rFonts w:ascii="Arial" w:cs="Arial" w:eastAsia="Arial" w:hAnsi="Arial"/>
          <w:b/>
          <w:bCs/>
          <w:color w:val="2E75B6"/>
          <w:sz w:val="26"/>
          <w:szCs w:val="26"/>
        </w:rPr>
        <w:t xml:space="preserve">5.1 CST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000"/>
        <w:gridCol w:w="4360"/>
      </w:tblGrid>
      <w:tr>
        <w:trPr>
          <w:tblHeader/>
        </w:trPr>
        <w:tc>
          <w:tcPr>
            <w:tcW w:type="dxa" w:w="2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Elements</w:t>
            </w:r>
          </w:p>
        </w:tc>
        <w:tc>
          <w:tcPr>
            <w:tcW w:type="dxa" w:w="1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Apportionment Stage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 Apportionment, Post Apportionment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on P&amp;L Report for before/after comparison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CST Cost Pool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CP01–CP09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Hierarchical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&amp; Desc alias. Under Total Cost Pools.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Cost Pool Dest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CP01–CP09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Hierarchical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mirror of Cost Pool. Reciprocal destination dim.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CST Activity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A01–A11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Hierarchical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&amp; Desc alias. Under Total Activities.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Activity Dest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A01–A11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Hierarchical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mirror of Activity. Reciprocal destination dim.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CST Service Line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SL01–SL08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Hierarchical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&amp; Desc alias. Under Total Service 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Reconciliation Check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RC01–RC06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Hierarchical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check per stage. See Section 5.2.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CST Config Item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Hierarchical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Hierarchical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Account/Pool/Activity/SL settings. String + Alias attributes.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5.2 Reconciliation Check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6480"/>
      </w:tblGrid>
      <w:tr>
        <w:trPr>
          <w:tblHeader/>
        </w:trPr>
        <w:tc>
          <w:tcPr>
            <w:tcW w:type="dxa" w:w="10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4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RC01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 Input total = Cost Pool total</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RC02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Stage 1b</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Pool total in = Pool total out (reciprocal balance)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RC03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Pool total = Activity total</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RC04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Stage 2b</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Activity total in = Activity total out (reciprocal balance)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RC05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3</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 total = Service Line total</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RC06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Overall</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 Input total = Service Line total (full end-to-end check)</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5.3 GBL Dimensions Used</w:t>
      </w:r>
    </w:p>
    <w:p>
      <w:pPr>
        <w:spacing w:before="60" w:after="60"/>
      </w:pPr>
      <w:r>
        <w:rPr>
          <w:rFonts w:ascii="Arial" w:cs="Arial" w:eastAsia="Arial" w:hAnsi="Arial"/>
          <w:sz w:val="22"/>
          <w:szCs w:val="22"/>
        </w:rPr>
        <w:t xml:space="preserve">The following GBL dimensions are built by tm1_global and must exist before the CST build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Elements</w:t>
            </w:r>
          </w:p>
        </w:tc>
        <w:tc>
          <w:tcPr>
            <w:tcW w:type="dxa" w:w="4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GBL Account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4000–7000 series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 of accounts. Code &amp; Desc alias.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GBL Department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D001–D017</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Org departments. Code &amp; Desc alias.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GBL Period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Apr–Mar FY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MTD/YTD/OBL, CY periods, Active attribute.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GBL Version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Actual, Budget, Forecast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Flat. Desc alias only.</w:t>
            </w:r>
          </w:p>
        </w:tc>
      </w:tr>
    </w:tbl>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6. Architecture — Hybrid Python / TI</w:t>
      </w:r>
    </w:p>
    <w:p>
      <w:pPr>
        <w:spacing w:before="60" w:after="60"/>
      </w:pPr>
      <w:r>
        <w:rPr>
          <w:rFonts w:ascii="Arial" w:cs="Arial" w:eastAsia="Arial" w:hAnsi="Arial"/>
          <w:sz w:val="22"/>
          <w:szCs w:val="22"/>
        </w:rPr>
        <w:t xml:space="preserve">The apportionment engine uses a hybrid architecture. TI handles data movement; Python handles the mathematics.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1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movement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TM1 TurboIntegrator (TI)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 data import, cube clearing, driver validation, P&amp;L population, reconciliation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Mathematics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 NumPy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Reciprocal apportionment solver via matrix inversion. Exact solution, no approximation.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(allocation_runner.py)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TI processes and NumPy solver in correct sequence for a given Period/Version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 trigger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Flask API</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Receives trigger from TI via ExecuteHttpRequest. Returns job ID immediately (async).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TM1 write-back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TM1py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Writes NumPy-solved results back to TM1 apportionment cubes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6.1 Why Hybrid</w:t>
      </w:r>
    </w:p>
    <w:p>
      <w:pPr>
        <w:pStyle w:val="ListParagraph"/>
        <w:numPr>
          <w:ilvl w:val="0"/>
          <w:numId w:val="2"/>
        </w:numPr>
        <w:spacing w:before="40" w:after="40"/>
      </w:pPr>
      <w:r>
        <w:rPr>
          <w:rFonts w:ascii="Arial" w:cs="Arial" w:eastAsia="Arial" w:hAnsi="Arial"/>
          <w:sz w:val="22"/>
          <w:szCs w:val="22"/>
        </w:rPr>
        <w:t xml:space="preserve">TI cannot iterate to convergence — no loop control for reciprocal maths</w:t>
      </w:r>
    </w:p>
    <w:p>
      <w:pPr>
        <w:pStyle w:val="ListParagraph"/>
        <w:numPr>
          <w:ilvl w:val="0"/>
          <w:numId w:val="2"/>
        </w:numPr>
        <w:spacing w:before="40" w:after="40"/>
      </w:pPr>
      <w:r>
        <w:rPr>
          <w:rFonts w:ascii="Arial" w:cs="Arial" w:eastAsia="Arial" w:hAnsi="Arial"/>
          <w:sz w:val="22"/>
          <w:szCs w:val="22"/>
        </w:rPr>
        <w:t xml:space="preserve">NumPy solves the reciprocal problem exactly via matrix inversion (no approximation, no convergence tolerance needed)</w:t>
      </w:r>
    </w:p>
    <w:p>
      <w:pPr>
        <w:pStyle w:val="ListParagraph"/>
        <w:numPr>
          <w:ilvl w:val="0"/>
          <w:numId w:val="2"/>
        </w:numPr>
        <w:spacing w:before="40" w:after="40"/>
      </w:pPr>
      <w:r>
        <w:rPr>
          <w:rFonts w:ascii="Arial" w:cs="Arial" w:eastAsia="Arial" w:hAnsi="Arial"/>
          <w:sz w:val="22"/>
          <w:szCs w:val="22"/>
        </w:rPr>
        <w:t xml:space="preserve">Python code is testable, version-controlled, and debuggable — TI has no unit testing capability</w:t>
      </w:r>
    </w:p>
    <w:p>
      <w:pPr>
        <w:pStyle w:val="ListParagraph"/>
        <w:numPr>
          <w:ilvl w:val="0"/>
          <w:numId w:val="2"/>
        </w:numPr>
        <w:spacing w:before="40" w:after="40"/>
      </w:pPr>
      <w:r>
        <w:rPr>
          <w:rFonts w:ascii="Arial" w:cs="Arial" w:eastAsia="Arial" w:hAnsi="Arial"/>
          <w:sz w:val="22"/>
          <w:szCs w:val="22"/>
        </w:rPr>
        <w:t xml:space="preserve">Flask/HTTP is the only valid external trigger mechanism in TM1 V12 (ExecuteCommand removed)</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6.2 TI Process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1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Called by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Validate Drivers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runner — runs first, aborts if driver % don’t sum to 100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CST Clear Apportionment Data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Flask runner — zeros all apportionment cubes for Period/Version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Load GL Input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runner — imports source GL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CST Run Stage1 GL to Pool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Flask runner — applies Apportionment Config mappings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Run Stage2 Pool to Activity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runner — applies Pool Driver %</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CST Run Stage3 Activity to SvcLine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Flask runner — applies Activity Driver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Populate PL Report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runner — writes Pre and Post Apportionment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CST Populate Reconciliation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Flask runner — writes RC01–RC06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Validate Reconciliation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runner — confirms in = out, aborts if breach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CST Trigger Apportionment Run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PAW chore — fires HTTP POST to Flask via ExecuteHttpRequest</w:t>
            </w:r>
          </w:p>
        </w:tc>
      </w:tr>
    </w:tbl>
    <w:p>
      <w:pPr>
        <w:spacing w:before="60" w:after="60"/>
        <w:ind w:left="360"/>
      </w:pPr>
      <w:r>
        <w:rPr>
          <w:rFonts w:ascii="Arial" w:cs="Arial" w:eastAsia="Arial" w:hAnsi="Arial"/>
          <w:i/>
          <w:iCs/>
          <w:color w:val="666666"/>
          <w:sz w:val="20"/>
          <w:szCs w:val="20"/>
        </w:rPr>
        <w:t xml:space="preserve">Stages 1b and 2b (reciprocal apportionment) are handled entirely by the Python NumPy solver. No TI process is needed for the mathematics.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6.3 Flask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5640"/>
      </w:tblGrid>
      <w:tr>
        <w:trPr>
          <w:tblHeader/>
        </w:trPr>
        <w:tc>
          <w:tcPr>
            <w:tcW w:type="dxa" w:w="72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6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/api/apportionment/run</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full apportionment run. Body: { period, version }. Returns job_id immediately.</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/api/apportionment/status/&lt;job_id&gt;</w:t>
            </w:r>
          </w:p>
        </w:tc>
        <w:tc>
          <w:tcPr>
            <w:tcW w:type="dxa" w:w="5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Poll run status. Returns stage, % complete, errors.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6.4 V12 HTTP Trigger Pattern</w:t>
      </w:r>
    </w:p>
    <w:p>
      <w:pPr>
        <w:spacing w:before="60" w:after="60"/>
      </w:pPr>
      <w:r>
        <w:rPr>
          <w:rFonts w:ascii="Arial" w:cs="Arial" w:eastAsia="Arial" w:hAnsi="Arial"/>
          <w:sz w:val="22"/>
          <w:szCs w:val="22"/>
        </w:rPr>
        <w:t xml:space="preserve">TI processes call the Flask API using ExecuteHttpRequest, which is the V12 replacement for ExecuteCommand:</w:t>
      </w:r>
    </w:p>
    <w:p>
      <w:pPr>
        <w:spacing w:before="120" w:after="120"/>
        <w:ind w:left="720"/>
      </w:pPr>
      <w:r>
        <w:rPr>
          <w:rFonts w:ascii="Courier New" w:cs="Courier New" w:eastAsia="Courier New" w:hAnsi="Courier New"/>
          <w:color w:val="333333"/>
          <w:sz w:val="18"/>
          <w:szCs w:val="18"/>
        </w:rPr>
        <w:t xml:space="preserve">ExecuteHttpRequest('POST', 'http://ubuntu-host:5001/api/apportionment/run',
    '-d', '{"period":"' | pPeriod | '","version":"' | pVersion | '"}',
    '-H', 'Content-Type: application/json');
nStatus = HttpResponseGetStatusCode();
If(nStatus &lt;&gt; 202); ProcessError; EndIf;</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7. Apportionment Config Cube</w:t>
      </w:r>
    </w:p>
    <w:p>
      <w:pPr>
        <w:spacing w:before="60" w:after="60"/>
      </w:pPr>
      <w:r>
        <w:rPr>
          <w:rFonts w:ascii="Arial" w:cs="Arial" w:eastAsia="Arial" w:hAnsi="Arial"/>
          <w:sz w:val="22"/>
          <w:szCs w:val="22"/>
        </w:rPr>
        <w:t xml:space="preserve">The CST Apportionment Config cube is the single source of truth for all apportionment settings. It controls account-to-pool mappings, driver descriptions, and run-time parameters for the iterative solver.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 Item</w:t>
            </w:r>
          </w:p>
        </w:tc>
        <w:tc>
          <w:tcPr>
            <w:tcW w:type="dxa" w:w="6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Apportionment Pct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to pool apportionment percentage (0–100). Sums to 100 per account across all pools.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 Apportioned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 = overhead account apportioned through ABC, N = direct cost or revenue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 Mapping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CST Cost Pool code this GL account maps to (e.g. CP01)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Driver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Driver used to apportion pool to activities (e.g. Floor space m²)</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 Driver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used to apportion activity to service lines (e.g. Admissions count)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Reciprocal Active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Y/N flag controlling whether iterative loop runs for Stage 1b or 2b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Iterations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cap for the iterative solver (default 50)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Tolerance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Convergence threshold for residual check (default 0.001)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Basis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Apportionment or Direct — audit trail of driver method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Basis Description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 text description of the driver basis for audit purposes</w:t>
            </w:r>
          </w:p>
        </w:tc>
      </w:tr>
    </w:tbl>
    <w:p>
      <w:pPr>
        <w:spacing w:before="60" w:after="60"/>
      </w:pPr>
      <w:r>
        <w:t xml:space="preserve"/>
      </w:r>
    </w:p>
    <w:p>
      <w:pPr>
        <w:spacing w:before="60" w:after="60"/>
        <w:ind w:left="360"/>
      </w:pPr>
      <w:r>
        <w:rPr>
          <w:rFonts w:ascii="Arial" w:cs="Arial" w:eastAsia="Arial" w:hAnsi="Arial"/>
          <w:i/>
          <w:iCs/>
          <w:color w:val="666666"/>
          <w:sz w:val="20"/>
          <w:szCs w:val="20"/>
        </w:rPr>
        <w:t xml:space="preserve">All Config measures are String type. Written via write_through_unbound_process (V12 requirement).</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8.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6120"/>
      </w:tblGrid>
      <w:tr>
        <w:trPr>
          <w:tblHeader/>
        </w:trPr>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12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Model Build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13 CST cubes, 21 dimensions, 13 views. Live in PAW. GBL foundation built. Repos structured and isolated.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 Allocation Engine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Next</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Flask API, NumPy reciprocal solver, TI process suite, allocation runner orchestrator, sample data set for testing.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Cross-Period Interactions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Deferred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activities interact across time periods. Requires CST Activity Volume cube, bootstrap mechanism for period 1, Interaction Type flag in Config (Same Period / Cross Period).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 — Governance Integration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Planned</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Governance Suite monitors apportionment runs via HTTP health check endpoints. Dashboard shows run status, reconciliation results, driver validation.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Phase 5 — Metadata Audit and Time Travel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Planned</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DuckDB replaces SQLite. All metadata changes stored as immutable timestamped facts. Time travel queries reconstruct exact metadata state at any point. Every apportionment run records the snapshot used for full reproducibility.</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8.1 Phase 3 Design Note — Cross-Period Interactions</w:t>
      </w:r>
    </w:p>
    <w:p>
      <w:pPr>
        <w:spacing w:before="60" w:after="60"/>
      </w:pPr>
      <w:r>
        <w:rPr>
          <w:rFonts w:ascii="Arial" w:cs="Arial" w:eastAsia="Arial" w:hAnsi="Arial"/>
          <w:sz w:val="22"/>
          <w:szCs w:val="22"/>
        </w:rPr>
        <w:t xml:space="preserve">When two activities interact across time periods (e.g. Marketing feedback → Product Development, R&amp;D → Manufacturing), the same-period reciprocal loop does not apply. The feedback loop is time-lagged.</w:t>
      </w:r>
    </w:p>
    <w:p>
      <w:pPr>
        <w:spacing w:before="60" w:after="60"/>
      </w:pPr>
      <w:r>
        <w:rPr>
          <w:rFonts w:ascii="Arial" w:cs="Arial" w:eastAsia="Arial" w:hAnsi="Arial"/>
          <w:sz w:val="22"/>
          <w:szCs w:val="22"/>
        </w:rPr>
        <w:t xml:space="preserve">The correct approach uses prior period actual activity volumes as the apportionment driver for the current period. This requires:</w:t>
      </w:r>
    </w:p>
    <w:p>
      <w:pPr>
        <w:pStyle w:val="ListParagraph"/>
        <w:numPr>
          <w:ilvl w:val="0"/>
          <w:numId w:val="2"/>
        </w:numPr>
        <w:spacing w:before="40" w:after="40"/>
      </w:pPr>
      <w:r>
        <w:rPr>
          <w:rFonts w:ascii="Arial" w:cs="Arial" w:eastAsia="Arial" w:hAnsi="Arial"/>
          <w:sz w:val="22"/>
          <w:szCs w:val="22"/>
        </w:rPr>
        <w:t xml:space="preserve">CST Activity Volume cube to store actual consumption metrics by period</w:t>
      </w:r>
    </w:p>
    <w:p>
      <w:pPr>
        <w:pStyle w:val="ListParagraph"/>
        <w:numPr>
          <w:ilvl w:val="0"/>
          <w:numId w:val="2"/>
        </w:numPr>
        <w:spacing w:before="40" w:after="40"/>
      </w:pPr>
      <w:r>
        <w:rPr>
          <w:rFonts w:ascii="Arial" w:cs="Arial" w:eastAsia="Arial" w:hAnsi="Arial"/>
          <w:sz w:val="22"/>
          <w:szCs w:val="22"/>
        </w:rPr>
        <w:t xml:space="preserve">A bootstrap mechanism for period one (no prior period exists)</w:t>
      </w:r>
    </w:p>
    <w:p>
      <w:pPr>
        <w:pStyle w:val="ListParagraph"/>
        <w:numPr>
          <w:ilvl w:val="0"/>
          <w:numId w:val="2"/>
        </w:numPr>
        <w:spacing w:before="40" w:after="40"/>
      </w:pPr>
      <w:r>
        <w:rPr>
          <w:rFonts w:ascii="Arial" w:cs="Arial" w:eastAsia="Arial" w:hAnsi="Arial"/>
          <w:sz w:val="22"/>
          <w:szCs w:val="22"/>
        </w:rPr>
        <w:t xml:space="preserve">Interaction Type flag in Config: Same Period vs Cross Period</w:t>
      </w:r>
    </w:p>
    <w:p>
      <w:pPr>
        <w:pStyle w:val="ListParagraph"/>
        <w:numPr>
          <w:ilvl w:val="0"/>
          <w:numId w:val="2"/>
        </w:numPr>
        <w:spacing w:before="40" w:after="40"/>
      </w:pPr>
      <w:r>
        <w:rPr>
          <w:rFonts w:ascii="Arial" w:cs="Arial" w:eastAsia="Arial" w:hAnsi="Arial"/>
          <w:sz w:val="22"/>
          <w:szCs w:val="22"/>
        </w:rPr>
        <w:t xml:space="preserve">A modified TI/Python pattern that reads back one period rather than iterating within the current run</w:t>
      </w:r>
    </w:p>
    <w:p>
      <w:pPr>
        <w:spacing w:before="60" w:after="60"/>
        <w:ind w:left="360"/>
      </w:pPr>
      <w:r>
        <w:rPr>
          <w:rFonts w:ascii="Arial" w:cs="Arial" w:eastAsia="Arial" w:hAnsi="Arial"/>
          <w:i/>
          <w:iCs/>
          <w:color w:val="666666"/>
          <w:sz w:val="20"/>
          <w:szCs w:val="20"/>
        </w:rPr>
        <w:t xml:space="preserve">Do not implement until Phase 3. The Config Interaction Type flag is the planned extension point.</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9. Build Reference</w:t>
      </w:r>
    </w:p>
    <w:p>
      <w:pPr>
        <w:pStyle w:val="Heading2"/>
        <w:spacing w:before="240" w:after="80"/>
      </w:pPr>
      <w:r>
        <w:rPr>
          <w:rFonts w:ascii="Arial" w:cs="Arial" w:eastAsia="Arial" w:hAnsi="Arial"/>
          <w:b/>
          <w:bCs/>
          <w:color w:val="2E75B6"/>
          <w:sz w:val="26"/>
          <w:szCs w:val="26"/>
        </w:rPr>
        <w:t xml:space="preserve">9.1 Prerequisites</w:t>
      </w:r>
    </w:p>
    <w:p>
      <w:pPr>
        <w:pStyle w:val="ListParagraph"/>
        <w:numPr>
          <w:ilvl w:val="0"/>
          <w:numId w:val="2"/>
        </w:numPr>
        <w:spacing w:before="40" w:after="40"/>
      </w:pPr>
      <w:r>
        <w:rPr>
          <w:rFonts w:ascii="Arial" w:cs="Arial" w:eastAsia="Arial" w:hAnsi="Arial"/>
          <w:sz w:val="22"/>
          <w:szCs w:val="22"/>
        </w:rPr>
        <w:t xml:space="preserve">Ubuntu 24.04 LTS host</w:t>
      </w:r>
    </w:p>
    <w:p>
      <w:pPr>
        <w:pStyle w:val="ListParagraph"/>
        <w:numPr>
          <w:ilvl w:val="0"/>
          <w:numId w:val="2"/>
        </w:numPr>
        <w:spacing w:before="40" w:after="40"/>
      </w:pPr>
      <w:r>
        <w:rPr>
          <w:rFonts w:ascii="Arial" w:cs="Arial" w:eastAsia="Arial" w:hAnsi="Arial"/>
          <w:sz w:val="22"/>
          <w:szCs w:val="22"/>
        </w:rPr>
        <w:t xml:space="preserve">Python 3.12 with venv</w:t>
      </w:r>
    </w:p>
    <w:p>
      <w:pPr>
        <w:pStyle w:val="ListParagraph"/>
        <w:numPr>
          <w:ilvl w:val="0"/>
          <w:numId w:val="2"/>
        </w:numPr>
        <w:spacing w:before="40" w:after="40"/>
      </w:pPr>
      <w:r>
        <w:rPr>
          <w:rFonts w:ascii="Arial" w:cs="Arial" w:eastAsia="Arial" w:hAnsi="Arial"/>
          <w:sz w:val="22"/>
          <w:szCs w:val="22"/>
        </w:rPr>
        <w:t xml:space="preserve">TM1py &gt;= 1.8.0 with V12 monkey-patches applied</w:t>
      </w:r>
    </w:p>
    <w:p>
      <w:pPr>
        <w:pStyle w:val="ListParagraph"/>
        <w:numPr>
          <w:ilvl w:val="0"/>
          <w:numId w:val="2"/>
        </w:numPr>
        <w:spacing w:before="40" w:after="40"/>
      </w:pPr>
      <w:r>
        <w:rPr>
          <w:rFonts w:ascii="Arial" w:cs="Arial" w:eastAsia="Arial" w:hAnsi="Arial"/>
          <w:sz w:val="22"/>
          <w:szCs w:val="22"/>
        </w:rPr>
        <w:t xml:space="preserve">IBM Planning Analytics V12 on-prem at 192.168.1.178:4444</w:t>
      </w:r>
    </w:p>
    <w:p>
      <w:pPr>
        <w:pStyle w:val="ListParagraph"/>
        <w:numPr>
          <w:ilvl w:val="0"/>
          <w:numId w:val="2"/>
        </w:numPr>
        <w:spacing w:before="40" w:after="40"/>
      </w:pPr>
      <w:r>
        <w:rPr>
          <w:rFonts w:ascii="Arial" w:cs="Arial" w:eastAsia="Arial" w:hAnsi="Arial"/>
          <w:sz w:val="22"/>
          <w:szCs w:val="22"/>
        </w:rPr>
        <w:t xml:space="preserve">PAW at 192.168.1.223</w:t>
      </w:r>
    </w:p>
    <w:p>
      <w:pPr>
        <w:pStyle w:val="ListParagraph"/>
        <w:numPr>
          <w:ilvl w:val="0"/>
          <w:numId w:val="2"/>
        </w:numPr>
        <w:spacing w:before="40" w:after="40"/>
      </w:pPr>
      <w:r>
        <w:rPr>
          <w:rFonts w:ascii="Arial" w:cs="Arial" w:eastAsia="Arial" w:hAnsi="Arial"/>
          <w:sz w:val="22"/>
          <w:szCs w:val="22"/>
        </w:rPr>
        <w:t xml:space="preserve">tm1_global repo built and GBL dims live on TM1 server</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9.2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4320"/>
      </w:tblGrid>
      <w:tr>
        <w:trPr>
          <w:tblHeader/>
        </w:trPr>
        <w:tc>
          <w:tcPr>
            <w:tcW w:type="dxa" w:w="14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32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Build GBL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 ~/apps/tm1_global
python3 model_builder/build_gbl_model.py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run first. Builds all GBL dims and Assumptions cube.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 Cleanup CST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cd ~/apps/tm1_apportionment
python3 model_builder/cleanup_cst_model.py</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Safe to run on empty server. Dynamically finds all CST objects.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Build CST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python3 model_builder/build_cst_model.py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gbl_check first. Runs 5 create scripts in strict order.</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9.3 Naming Conventions</w:t>
      </w:r>
    </w:p>
    <w:p>
      <w:pPr>
        <w:pStyle w:val="Heading1"/>
      </w:pPr>
      <w:r>
        <w:t>11. Metadata Audit and Time Travel</w:t>
      </w:r>
    </w:p>
    <w:p>
      <w:r>
        <w:t>Phase 5 introduces DuckDB to track all metadata changes as immutable timestamped facts. Every change to GL account to cost pool mappings, driver percentages, activity to service line mappings, dimension attributes, and basis descriptions is recorded as a new row with a timestamp. Rows are never updated or deleted — only appended. This gives a complete metadata audit trail complementing the numeric RC01–RC06 reconciliation.</w:t>
      </w:r>
    </w:p>
    <w:p>
      <w:pPr>
        <w:pStyle w:val="Heading2"/>
      </w:pPr>
      <w:r>
        <w:t>11.1 What Is Tracked</w:t>
      </w:r>
    </w:p>
    <w:p>
      <w:r>
        <w:t>The following metadata categories are stored as immutable fact tables:</w:t>
      </w:r>
    </w:p>
    <w:p>
      <w:pPr>
        <w:pStyle w:val="ListParagraph"/>
      </w:pPr>
      <w:r>
        <w:t>GL account to cost pool mappings — when an overhead account is reassigned to a different cost pool</w:t>
      </w:r>
    </w:p>
    <w:p>
      <w:pPr>
        <w:pStyle w:val="ListParagraph"/>
      </w:pPr>
      <w:r>
        <w:t>Driver percentages — pool to activity (CST Pool Driver), summing to 100 per pool</w:t>
      </w:r>
    </w:p>
    <w:p>
      <w:pPr>
        <w:pStyle w:val="ListParagraph"/>
      </w:pPr>
      <w:r>
        <w:t>Driver percentages — activity to service line (CST Activity Driver), summing to 100 per activity</w:t>
      </w:r>
    </w:p>
    <w:p>
      <w:pPr>
        <w:pStyle w:val="ListParagraph"/>
      </w:pPr>
      <w:r>
        <w:t>Dimension attributes — Code &amp; Desc, Desc, Cost Pool, and any future attributes on all CST and GBL dimensions</w:t>
      </w:r>
    </w:p>
    <w:p>
      <w:pPr>
        <w:pStyle w:val="ListParagraph"/>
      </w:pPr>
      <w:r>
        <w:t>Basis descriptions — free-text record of why a particular driver basis was chosen for a cost pool</w:t>
      </w:r>
    </w:p>
    <w:p>
      <w:pPr>
        <w:pStyle w:val="Heading2"/>
      </w:pPr>
      <w:r>
        <w:t>11.2 Time Travel</w:t>
      </w:r>
    </w:p>
    <w:p>
      <w:r>
        <w:t>Because all facts carry a timestamp and nothing is ever deleted, the exact metadata state at any point in time can be reconstructed with a single query. DuckDB supports the SQL standard FOR SYSTEM_TIME AS OF syntax for this purpose:</w:t>
      </w:r>
    </w:p>
    <w:p>
      <w:pPr>
        <w:ind w:left="720"/>
      </w:pPr>
      <w:r>
        <w:rPr>
          <w:rFonts w:ascii="Courier New" w:hAnsi="Courier New"/>
          <w:sz w:val="18"/>
        </w:rPr>
        <w:t>SELECT *</w:t>
        <w:br/>
        <w:t>FROM   pool_drivers</w:t>
        <w:br/>
        <w:t>FOR    SYSTEM_TIME AS OF TIMESTAMP '2026-03-01'</w:t>
        <w:br/>
        <w:t>WHERE  pool_code = 'CP03';</w:t>
      </w:r>
    </w:p>
    <w:p>
      <w:r>
        <w:t>This returns the driver percentages for CP03 exactly as they stood on 1 March 2026 — regardless of any changes made after that date.</w:t>
      </w:r>
    </w:p>
    <w:p>
      <w:pPr>
        <w:pStyle w:val="Heading2"/>
      </w:pPr>
      <w:r>
        <w:t>11.3 Run Reproducibility</w:t>
      </w:r>
    </w:p>
    <w:p>
      <w:r>
        <w:t>Every apportionment run records the DuckDB snapshot timestamp used to load its configuration. Re-running the engine with the same metadata_as_at timestamp reproduces the identical result. This makes every apportionment output fully auditable and reproducible.</w:t>
      </w:r>
    </w:p>
    <w:p>
      <w:pPr>
        <w:pStyle w:val="Heading2"/>
      </w:pPr>
      <w:r>
        <w:t>11.4 Relationship to RC01–RC06</w:t>
      </w:r>
    </w:p>
    <w:p>
      <w:r>
        <w:t>RC01–RC06 confirm that costs balanced numerically at each stage. The DuckDB audit trail confirms that the correct drivers and mappings were used. Both are required for a complete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6480"/>
      </w:tblGrid>
      <w:tr>
        <w:trPr>
          <w:tblHeader/>
        </w:trPr>
        <w:tc>
          <w:tcPr>
            <w:tcW w:type="dxa" w:w="10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Audit Layer</w:t>
            </w:r>
          </w:p>
        </w:tc>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Mechanism</w:t>
            </w:r>
          </w:p>
        </w:tc>
        <w:tc>
          <w:tcPr>
            <w:tcW w:type="dxa" w:w="64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Answers</w:t>
            </w:r>
          </w:p>
        </w:tc>
      </w:tr>
      <w:tr>
        <w:trPr>
          <w:tblHeader/>
        </w:trPr>
        <w:tc>
          <w:tcPr>
            <w:tcW w:type="dxa" w:w="10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Numeric integrity</w:t>
            </w:r>
          </w:p>
        </w:tc>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RC01–RC06 in CST Apportionment Reconciliation</w:t>
            </w:r>
          </w:p>
        </w:tc>
        <w:tc>
          <w:tcPr>
            <w:tcW w:type="dxa" w:w="64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Did costs flow without leakage or duplication at each stage?</w:t>
            </w:r>
          </w:p>
        </w:tc>
      </w:tr>
      <w:tr>
        <w:trPr>
          <w:tblHeader/>
        </w:trPr>
        <w:tc>
          <w:tcPr>
            <w:tcW w:type="dxa" w:w="10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Metadata integrity</w:t>
            </w:r>
          </w:p>
        </w:tc>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DuckDB FOR SYSTEM_TIME AS OF on all fact tables</w:t>
            </w:r>
          </w:p>
        </w:tc>
        <w:tc>
          <w:tcPr>
            <w:tcW w:type="dxa" w:w="64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Were the correct drivers, mappings, and basis descriptions applied?</w:t>
            </w:r>
          </w:p>
        </w:tc>
      </w:tr>
    </w:tbl>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TM1 Apportionment Module — Design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0404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2026-03-23T00:50:04.093Z</dcterms:created>
  <dcterms:modified xsi:type="dcterms:W3CDTF">2026-03-23T00:50:04.094Z</dcterms:modified>
</cp:coreProperties>
</file>

<file path=docProps/custom.xml><?xml version="1.0" encoding="utf-8"?>
<Properties xmlns="http://schemas.openxmlformats.org/officeDocument/2006/custom-properties" xmlns:vt="http://schemas.openxmlformats.org/officeDocument/2006/docPropsVTypes"/>
</file>