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PAW Content Services API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Field Reference Guide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IBM Planning Analytics Workspace  ·  http://192.168.1.223  ·  v1.0  ·  March 2026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lists all fields available from the PAW Content Services API at http://192.168.1.223/pacontent/v1/. Fields were verified through direct API testing against the live PAW instance. Authentication uses Authentik OAuth2 PKCE flow — see paw_connect.py for implementation.</w:t>
      </w:r>
    </w:p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Core Asset Fields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Returned on every asset response at the top level of the JSON object.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560"/>
        <w:gridCol w:w="260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 (if expandable)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(UUID)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asset identifier — use for all subsequent API calls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/pacontent/v1/Assets('&lt;id&gt;')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 of the asset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content store path e.g. /shared/Admin/My Book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 type: folder | dashboard | workbench | view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kind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c#info for metadata responses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or invalid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revision counter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user-provided description (often empty)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System Properties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Nested under system_properties on every asset. Contains ownership, timestamps and current-user permissions.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created_date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8601 datetime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the asset was first created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created_user_id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(MongoDB ID)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user ID of creator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created_user_pretty_name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 of creator e.g. akadmin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modified_date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8601 datetime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the asset was last saved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modified_user_id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user ID of last modifier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modified_user_pretty_name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 of last modifier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used_date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8601 datetime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the asset was last opened/viewed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used_user_id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user ID of last viewer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used_user_pretty_name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 of last viewer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permissions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user's permissions: list, open, write, manage, secure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attachments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attachments (usually empty)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Dynamic Properties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Nested under dynamic_properties. These are relative URLs — prepend http://192.168.1.223/ to use them.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delete_link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relative URL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link used to delete the asset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thumbnail_link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relative URL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 to the book's thumbnail preview image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open_link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relative URL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Present on some asset types — direct open link (workbench)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Custom Properties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Nested under custom_properties. Free-form key/value store. Observed values on this PAW instance: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(numeric)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PAW internal schema version e.g. 3208 — set by PAW on create/save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score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(numeric)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field — user-defined, e.g. 100 on the TM1 Governance workbench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folders only — value SYSTEM indicates a built-in folder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WA_PRO_READY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folders only — value true indicates workspace-ready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(any)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properties are free-form — any key/value can be stored here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Content Fields (Layout)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Available when using ?$expand=content on a dashboard or workbench. Nested under content.layout.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Path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 (dashboard pages) or row (workbench layout)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layout.items[]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Top-level tabs/containers in the book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layout.items[].title.translationTable.Default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 display name e.g. "Tab 1", "Data Input"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layout.items[].type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| genericPage | templateIndicator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layout.pageSize.width / height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Canvas dimensions in pixels (default 1280×720)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layout.snapGrid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Whether grid snapping is enabled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layout.snapObjects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Whether object snapping is enabled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Content Fields (TM1 References)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Nested deep inside content.layout.items[].items[].items[].features.PAProperties. These are the cube view references for each page widget on a dashboard tab.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tm1.server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TM1 server name as registered in PAW e.g. "TM1 Governance"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tm1.cube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TM1 cube name e.g. "CST Activity Allocation"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tm1.view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TM1 view name e.g. "Default" — may be absent if using default view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PAProperties.useCarbonCubeview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Whether the new Carbon cube viewer UI is used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PAProperties.AllowSetEditor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Whether users can edit dimension sets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PAProperties.isPrivateView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Whether the view is private to the current user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Asset Types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type field determines what content is available and how the asset behaves in PAW.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folder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— holds other folders, dashboards, workbenches. Has no content.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Classic PAW book — one or more tabbed pages with cube views, charts, widgets.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workbench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PAW experience — flexible layout with floating panels. Content schema differs from dashboard.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view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saved TM1 cube view embedded as a standalone asset.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Endpoint Quick Reference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Base URL: http://192.168.1.223/pacontent/v1/   Note: paths must be double URL encoded (/shared → %2Fshared → %252Fshared).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List /shared children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/pacontent/v1/Assets(path='%252fshared')/Assets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List subfolder children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/pacontent/v1/Assets(path='%252fshared%252f&lt;folder&gt;')/Assets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 asset metadata by 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/pacontent/v1/Assets('&lt;uuid&gt;')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 asset + content by 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/pacontent/v1/Assets('&lt;uuid&gt;')?$expand=content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 asset by path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/pacontent/v1/Assets(path='&lt;double-encoded-path&gt;')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 folder + children expanded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/pacontent/v1/Assets(path='...')?$expand=Assets</w:t>
            </w:r>
          </w:p>
        </w:tc>
      </w:tr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List available entity sets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/pacontent/v1/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Authentication Notes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PAW uses Authentik (http://192.168.1.171:9000) as its identity provider via OAuth2 PKCE. All requests require: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Cookie: paSession — set automatically after completing the Authentik PKCE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Header: ba-sso-authenticity — set to the value of the ba-sso-csrf cookie</w:t>
      </w:r>
    </w:p>
    <w:p>
      <w:pPr>
        <w:spacing w:after="6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See paw_connect.py for the full six-step authentication implementation.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PAW Content Services API — Field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TM1 Governance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2026-03-17T09:48:35.807Z</dcterms:created>
  <dcterms:modified xsi:type="dcterms:W3CDTF">2026-03-17T09:48:35.807Z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