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2E4057"/>
          <w:sz w:val="56"/>
          <w:szCs w:val="56"/>
        </w:rPr>
        <w:t xml:space="preserve">TM1 Healthcare ABC Model</w:t>
      </w:r>
    </w:p>
    <w:p>
      <w:pPr>
        <w:spacing w:after="240"/>
        <w:jc w:val="center"/>
      </w:pPr>
      <w:r>
        <w:rPr>
          <w:rFonts w:ascii="Arial" w:cs="Arial" w:eastAsia="Arial" w:hAnsi="Arial"/>
          <w:b/>
          <w:bCs/>
          <w:color w:val="4472C4"/>
          <w:sz w:val="36"/>
          <w:szCs w:val="36"/>
        </w:rPr>
        <w:t xml:space="preserve">Build Script Reference</w:t>
      </w:r>
    </w:p>
    <w:p>
      <w:pPr>
        <w:spacing w:after="2880"/>
        <w:jc w:val="center"/>
      </w:pPr>
      <w:r>
        <w:rPr>
          <w:rFonts w:ascii="Arial" w:cs="Arial" w:eastAsia="Arial" w:hAnsi="Arial"/>
          <w:color w:val="666666"/>
          <w:sz w:val="24"/>
          <w:szCs w:val="24"/>
        </w:rPr>
        <w:t xml:space="preserve">~/tm1-governance/ File Inventory and Description</w:t>
      </w:r>
    </w:p>
    <w:p>
      <w:r>
        <w:br w:type="page"/>
      </w: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This document describes every file in the ~/tm1-governance/ directory — the Python build scripts, TI process JSON files, and supporting utilities that construct and maintain the TM1 Healthcare ABC model on TM1 V12.</w:t>
      </w:r>
    </w:p>
    <w:p>
      <w:pPr>
        <w:spacing w:after="160"/>
      </w:pPr>
      <w:r>
        <w:t xml:space="preserve"/>
      </w:r>
    </w:p>
    <w:p>
      <w:pPr>
        <w:spacing w:after="120"/>
      </w:pPr>
      <w:r>
        <w:rPr>
          <w:rFonts w:ascii="Arial" w:cs="Arial" w:eastAsia="Arial" w:hAnsi="Arial"/>
          <w:sz w:val="22"/>
          <w:szCs w:val="22"/>
        </w:rPr>
        <w:t xml:space="preserve">The scripts are organised into three layers:</w:t>
      </w:r>
    </w:p>
    <w:p>
      <w:pPr>
        <w:spacing w:after="120"/>
      </w:pPr>
      <w:r>
        <w:rPr>
          <w:rFonts w:ascii="Arial" w:cs="Arial" w:eastAsia="Arial" w:hAnsi="Arial"/>
          <w:b w:val="false"/>
          <w:bCs w:val="false"/>
          <w:sz w:val="22"/>
          <w:szCs w:val="22"/>
        </w:rPr>
        <w:t xml:space="preserve">GBL (Global) — shared infrastructure used by all modules. Built first. Includes the chart of accounts, version dimension, and the central assumptions cube.</w:t>
      </w:r>
    </w:p>
    <w:p>
      <w:pPr>
        <w:spacing w:after="120"/>
      </w:pPr>
      <w:r>
        <w:rPr>
          <w:rFonts w:ascii="Arial" w:cs="Arial" w:eastAsia="Arial" w:hAnsi="Arial"/>
          <w:b w:val="false"/>
          <w:bCs w:val="false"/>
          <w:sz w:val="22"/>
          <w:szCs w:val="22"/>
        </w:rPr>
        <w:t xml:space="preserve">CST (Costing) — the ABC costing module. Depends on GBL. Includes all allocation dimensions, cubes, configuration and views.</w:t>
      </w:r>
    </w:p>
    <w:p>
      <w:pPr>
        <w:spacing w:after="120"/>
      </w:pPr>
      <w:r>
        <w:rPr>
          <w:rFonts w:ascii="Arial" w:cs="Arial" w:eastAsia="Arial" w:hAnsi="Arial"/>
          <w:b w:val="false"/>
          <w:bCs w:val="false"/>
          <w:sz w:val="22"/>
          <w:szCs w:val="22"/>
        </w:rPr>
        <w:t xml:space="preserve">Utilities — connection helpers, TI tools and diagnostics.</w:t>
      </w:r>
    </w:p>
    <w:p>
      <w:pPr>
        <w:spacing w:after="160"/>
      </w:pPr>
      <w:r>
        <w:t xml:space="preserve"/>
      </w:r>
    </w:p>
    <w:p>
      <w:pPr>
        <w:pStyle w:val="Heading2"/>
      </w:pPr>
      <w:r>
        <w:rPr>
          <w:rFonts w:ascii="Arial" w:cs="Arial" w:eastAsia="Arial" w:hAnsi="Arial"/>
          <w:b/>
          <w:bCs/>
          <w:sz w:val="26"/>
          <w:szCs w:val="26"/>
        </w:rPr>
        <w:t xml:space="preserve">Build Sequence — Fresh Environment</w:t>
      </w:r>
    </w:p>
    <w:p>
      <w:pPr>
        <w:spacing w:after="120"/>
      </w:pPr>
      <w:r>
        <w:rPr>
          <w:rFonts w:ascii="Arial" w:cs="Arial" w:eastAsia="Arial" w:hAnsi="Arial"/>
          <w:sz w:val="22"/>
          <w:szCs w:val="22"/>
        </w:rPr>
        <w:t xml:space="preserve">For a fresh environment, build in this order:</w:t>
      </w:r>
    </w:p>
    <w:p>
      <w:pPr>
        <w:spacing w:after="160"/>
      </w:pPr>
      <w:r>
        <w:t xml:space="preserve"/>
      </w:r>
    </w:p>
    <w:p>
      <w:pPr>
        <w:spacing w:before="60" w:after="60"/>
        <w:ind w:left="720"/>
      </w:pPr>
      <w:r>
        <w:rPr>
          <w:rFonts w:ascii="Courier New" w:cs="Courier New" w:eastAsia="Courier New" w:hAnsi="Courier New"/>
          <w:color w:val="2E4057"/>
          <w:sz w:val="18"/>
          <w:szCs w:val="18"/>
        </w:rPr>
        <w:t xml:space="preserve"># Step 1 — GBL Period (foundation — everything depends on this)</w:t>
      </w:r>
    </w:p>
    <w:p>
      <w:pPr>
        <w:spacing w:before="60" w:after="60"/>
        <w:ind w:left="720"/>
      </w:pPr>
      <w:r>
        <w:rPr>
          <w:rFonts w:ascii="Courier New" w:cs="Courier New" w:eastAsia="Courier New" w:hAnsi="Courier New"/>
          <w:color w:val="2E4057"/>
          <w:sz w:val="18"/>
          <w:szCs w:val="18"/>
        </w:rPr>
        <w:t xml:space="preserve">python3 create_json_ti_meta_data_gbl_period.py</w:t>
      </w:r>
    </w:p>
    <w:p>
      <w:pPr>
        <w:spacing w:before="60" w:after="60"/>
        <w:ind w:left="720"/>
      </w:pPr>
      <w:r>
        <w:rPr>
          <w:rFonts w:ascii="Courier New" w:cs="Courier New" w:eastAsia="Courier New" w:hAnsi="Courier New"/>
          <w:color w:val="2E4057"/>
          <w:sz w:val="18"/>
          <w:szCs w:val="18"/>
        </w:rPr>
        <w:t xml:space="preserve">python3 create_ti_meta_data_gbl_period.py</w:t>
      </w:r>
    </w:p>
    <w:p>
      <w:pPr>
        <w:spacing w:after="160"/>
      </w:pPr>
      <w:r>
        <w:t xml:space="preserve"/>
      </w:r>
    </w:p>
    <w:p>
      <w:pPr>
        <w:spacing w:before="60" w:after="60"/>
        <w:ind w:left="720"/>
      </w:pPr>
      <w:r>
        <w:rPr>
          <w:rFonts w:ascii="Courier New" w:cs="Courier New" w:eastAsia="Courier New" w:hAnsi="Courier New"/>
          <w:color w:val="2E4057"/>
          <w:sz w:val="18"/>
          <w:szCs w:val="18"/>
        </w:rPr>
        <w:t xml:space="preserve"># Step 2 — GBL infrastructure (checks Period exists first)</w:t>
      </w:r>
    </w:p>
    <w:p>
      <w:pPr>
        <w:spacing w:before="60" w:after="60"/>
        <w:ind w:left="720"/>
      </w:pPr>
      <w:r>
        <w:rPr>
          <w:rFonts w:ascii="Courier New" w:cs="Courier New" w:eastAsia="Courier New" w:hAnsi="Courier New"/>
          <w:color w:val="2E4057"/>
          <w:sz w:val="18"/>
          <w:szCs w:val="18"/>
        </w:rPr>
        <w:t xml:space="preserve">python3 build_gbl_model.py</w:t>
      </w:r>
    </w:p>
    <w:p>
      <w:pPr>
        <w:spacing w:after="160"/>
      </w:pPr>
      <w:r>
        <w:t xml:space="preserve"/>
      </w:r>
    </w:p>
    <w:p>
      <w:pPr>
        <w:spacing w:before="60" w:after="60"/>
        <w:ind w:left="720"/>
      </w:pPr>
      <w:r>
        <w:rPr>
          <w:rFonts w:ascii="Courier New" w:cs="Courier New" w:eastAsia="Courier New" w:hAnsi="Courier New"/>
          <w:color w:val="2E4057"/>
          <w:sz w:val="18"/>
          <w:szCs w:val="18"/>
        </w:rPr>
        <w:t xml:space="preserve"># Step 3 — CST module (checks GBL exists first)</w:t>
      </w:r>
    </w:p>
    <w:p>
      <w:pPr>
        <w:spacing w:before="60" w:after="60"/>
        <w:ind w:left="720"/>
      </w:pPr>
      <w:r>
        <w:rPr>
          <w:rFonts w:ascii="Courier New" w:cs="Courier New" w:eastAsia="Courier New" w:hAnsi="Courier New"/>
          <w:color w:val="2E4057"/>
          <w:sz w:val="18"/>
          <w:szCs w:val="18"/>
        </w:rPr>
        <w:t xml:space="preserve">python3 build_cst_model.py</w:t>
      </w:r>
    </w:p>
    <w:p>
      <w:pPr>
        <w:spacing w:after="160"/>
      </w:pPr>
      <w:r>
        <w:t xml:space="preserve"/>
      </w:r>
    </w:p>
    <w:p>
      <w:pPr>
        <w:pStyle w:val="Heading2"/>
      </w:pPr>
      <w:r>
        <w:rPr>
          <w:rFonts w:ascii="Arial" w:cs="Arial" w:eastAsia="Arial" w:hAnsi="Arial"/>
          <w:b/>
          <w:bCs/>
          <w:sz w:val="26"/>
          <w:szCs w:val="26"/>
        </w:rPr>
        <w:t xml:space="preserve">Rebuild Sequence — Existing Environment</w:t>
      </w:r>
    </w:p>
    <w:p>
      <w:pPr>
        <w:spacing w:after="120"/>
      </w:pPr>
      <w:r>
        <w:rPr>
          <w:rFonts w:ascii="Arial" w:cs="Arial" w:eastAsia="Arial" w:hAnsi="Arial"/>
          <w:sz w:val="22"/>
          <w:szCs w:val="22"/>
        </w:rPr>
        <w:t xml:space="preserve">When rebuilding an existing environment, cleanup must run in reverse dependency order — CST first, then GBL. TM1 will not delete a dimension that is still referenced by a cube.</w:t>
      </w:r>
    </w:p>
    <w:p>
      <w:pPr>
        <w:spacing w:after="160"/>
      </w:pPr>
      <w:r>
        <w:t xml:space="preserve"/>
      </w:r>
    </w:p>
    <w:p>
      <w:pPr>
        <w:spacing w:before="60" w:after="60"/>
        <w:ind w:left="720"/>
      </w:pPr>
      <w:r>
        <w:rPr>
          <w:rFonts w:ascii="Courier New" w:cs="Courier New" w:eastAsia="Courier New" w:hAnsi="Courier New"/>
          <w:color w:val="2E4057"/>
          <w:sz w:val="18"/>
          <w:szCs w:val="18"/>
        </w:rPr>
        <w:t xml:space="preserve"># Cleanup — reverse dependency order</w:t>
      </w:r>
    </w:p>
    <w:p>
      <w:pPr>
        <w:spacing w:before="60" w:after="60"/>
        <w:ind w:left="720"/>
      </w:pPr>
      <w:r>
        <w:rPr>
          <w:rFonts w:ascii="Courier New" w:cs="Courier New" w:eastAsia="Courier New" w:hAnsi="Courier New"/>
          <w:color w:val="2E4057"/>
          <w:sz w:val="18"/>
          <w:szCs w:val="18"/>
        </w:rPr>
        <w:t xml:space="preserve">python3 cleanup_cst_model.py   ← CST cubes and dims first</w:t>
      </w:r>
    </w:p>
    <w:p>
      <w:pPr>
        <w:spacing w:before="60" w:after="60"/>
        <w:ind w:left="720"/>
      </w:pPr>
      <w:r>
        <w:rPr>
          <w:rFonts w:ascii="Courier New" w:cs="Courier New" w:eastAsia="Courier New" w:hAnsi="Courier New"/>
          <w:color w:val="2E4057"/>
          <w:sz w:val="18"/>
          <w:szCs w:val="18"/>
        </w:rPr>
        <w:t xml:space="preserve">python3 cleanup_gbl_model.py   ← GBL dims now safe to remove</w:t>
      </w:r>
    </w:p>
    <w:p>
      <w:pPr>
        <w:spacing w:after="160"/>
      </w:pPr>
      <w:r>
        <w:t xml:space="preserve"/>
      </w:r>
    </w:p>
    <w:p>
      <w:pPr>
        <w:spacing w:before="60" w:after="60"/>
        <w:ind w:left="720"/>
      </w:pPr>
      <w:r>
        <w:rPr>
          <w:rFonts w:ascii="Courier New" w:cs="Courier New" w:eastAsia="Courier New" w:hAnsi="Courier New"/>
          <w:color w:val="2E4057"/>
          <w:sz w:val="18"/>
          <w:szCs w:val="18"/>
        </w:rPr>
        <w:t xml:space="preserve"># Rebuild — forward dependency order</w:t>
      </w:r>
    </w:p>
    <w:p>
      <w:pPr>
        <w:spacing w:before="60" w:after="60"/>
        <w:ind w:left="720"/>
      </w:pPr>
      <w:r>
        <w:rPr>
          <w:rFonts w:ascii="Courier New" w:cs="Courier New" w:eastAsia="Courier New" w:hAnsi="Courier New"/>
          <w:color w:val="2E4057"/>
          <w:sz w:val="18"/>
          <w:szCs w:val="18"/>
        </w:rPr>
        <w:t xml:space="preserve">python3 build_gbl_model.py     ← GBL infrastructure first</w:t>
      </w:r>
    </w:p>
    <w:p>
      <w:pPr>
        <w:spacing w:before="60" w:after="60"/>
        <w:ind w:left="720"/>
      </w:pPr>
      <w:r>
        <w:rPr>
          <w:rFonts w:ascii="Courier New" w:cs="Courier New" w:eastAsia="Courier New" w:hAnsi="Courier New"/>
          <w:color w:val="2E4057"/>
          <w:sz w:val="18"/>
          <w:szCs w:val="18"/>
        </w:rPr>
        <w:t xml:space="preserve">python3 build_cst_model.py     ← CST depends on GBL</w:t>
      </w:r>
    </w:p>
    <w:p>
      <w:pPr>
        <w:spacing w:after="160"/>
      </w:pPr>
      <w:r>
        <w:t xml:space="preserve"/>
      </w:r>
    </w:p>
    <w:p>
      <w:pPr>
        <w:spacing w:after="120"/>
      </w:pPr>
      <w:r>
        <w:rPr>
          <w:rFonts w:ascii="Arial" w:cs="Arial" w:eastAsia="Arial" w:hAnsi="Arial"/>
          <w:sz w:val="22"/>
          <w:szCs w:val="22"/>
        </w:rPr>
        <w:t xml:space="preserve">Note: GBL Period does not need to be rebuilt unless the year range needs extending. Run create_ti_meta_data_gbl_period.py with pDeleteAndRebuild=Y to extend the range.</w:t>
      </w:r>
    </w:p>
    <w:p>
      <w:pPr>
        <w:spacing w:after="160"/>
      </w:pPr>
      <w:r>
        <w:t xml:space="preserve"/>
      </w:r>
    </w:p>
    <w:p>
      <w:pPr>
        <w:spacing w:after="120"/>
      </w:pPr>
      <w:r>
        <w:rPr>
          <w:rFonts w:ascii="Arial" w:cs="Arial" w:eastAsia="Arial" w:hAnsi="Arial"/>
          <w:sz w:val="22"/>
          <w:szCs w:val="22"/>
        </w:rPr>
        <w:t xml:space="preserve">After every build, run META DATA GBL Version from PAW for each version (Actual, Budget, Forecast) to update active period flags before running the allocation.</w:t>
      </w:r>
    </w:p>
    <w:p>
      <w:pPr>
        <w:spacing w:after="160"/>
      </w:pPr>
      <w:r>
        <w:t xml:space="preserve"/>
      </w:r>
    </w:p>
    <w:p>
      <w:r>
        <w:br w:type="page"/>
      </w:r>
    </w:p>
    <w:p>
      <w:pPr>
        <w:pStyle w:val="Heading1"/>
      </w:pPr>
      <w:r>
        <w:rPr>
          <w:rFonts w:ascii="Arial" w:cs="Arial" w:eastAsia="Arial" w:hAnsi="Arial"/>
          <w:b/>
          <w:bCs/>
          <w:sz w:val="32"/>
          <w:szCs w:val="32"/>
        </w:rPr>
        <w:t xml:space="preserve">2. File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build_gbl_model.py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Master runner — builds all GBL shared infrastructure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build_cst_model.py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Master runner — builds all CST module objects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cleanup_gbl_model.py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Deletes GBL objects before a clean rebuild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cleanup_cst_model.py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Deletes CST objects before a clean rebuild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create_gbl_account.py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GBL Account dimension with Code &amp; Desc aliases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create_gbl_department.py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Builds GBL Department dimension with Code &amp; Desc aliases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create_gbl_currency_from.py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GBL Currency From dimension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create_gbl_currency_to.py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Builds GBL Currency To dimension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create_gbl_version.py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GBL Version dimension with operational attributes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create_gbl_assumptions.py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GBL</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Builds GBL Assumptions cube and measure dimension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create_json_ti_meta_data_gbl_period.py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GBL / TI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ti_meta_data_gbl_period.json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create_ti_meta_data_gbl_period.py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GBL / TI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Deploys and executes META DATA GBL Period TI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create_json_ti_meta_data_gbl_version.py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GBL / TI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Generates ti_meta_data_gbl_version.json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create_ti_meta_data_gbl_version.py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GBL / TI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Deploys META DATA GBL Version TI (deploy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create_cst_dimensions.py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all CST dimensions and GBL Department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create_cst_cubes.py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CST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Builds all 8 CST cubes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create_cst_allocation_config.py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Builds CST Allocation Config cube and populates settings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create_cst_allocation_stage.py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CST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Builds CST Allocation Stage dimension (Pre/Post Allocation)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create_cst_subsets_and_views.py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 all subsets and RPT Default views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ti_meta_data_gbl_period.json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JSON</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TI process definition — builds GBL Period dimension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ti_meta_data_gbl_version.json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 process definition — sets version attributes and period flags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tm1_connect.py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Raw REST session helper (used by TI deploy scripts)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tm1py_connect.py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TM1py session helper (used by all dimension/cube build scripts)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json_to_tm1.py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Deploys any TI JSON file to TM1 via REST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pro_to_json.py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Converts TM1 .pro files to REST API JSON format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sz w:val="18"/>
                <w:szCs w:val="18"/>
              </w:rPr>
              <w:t xml:space="preserve">ti_lint.py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TI code quality checker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cleanup_old_processes.py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Utility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Removes superseded TI processes (one-off cleanup)</w:t>
            </w:r>
          </w:p>
        </w:tc>
      </w:tr>
    </w:tbl>
    <w:p>
      <w:pPr>
        <w:spacing w:after="160"/>
      </w:pPr>
      <w:r>
        <w:t xml:space="preserve"/>
      </w:r>
    </w:p>
    <w:p>
      <w:pPr>
        <w:spacing w:after="160"/>
      </w:pPr>
      <w:r>
        <w:t xml:space="preserve"/>
      </w:r>
    </w:p>
    <w:p>
      <w:r>
        <w:br w:type="page"/>
      </w:r>
    </w:p>
    <w:p>
      <w:pPr>
        <w:pStyle w:val="Heading1"/>
      </w:pPr>
      <w:r>
        <w:rPr>
          <w:rFonts w:ascii="Arial" w:cs="Arial" w:eastAsia="Arial" w:hAnsi="Arial"/>
          <w:b/>
          <w:bCs/>
          <w:sz w:val="32"/>
          <w:szCs w:val="32"/>
        </w:rPr>
        <w:t xml:space="preserve">3. Build Scripts</w:t>
      </w:r>
    </w:p>
    <w:p>
      <w:pPr>
        <w:pStyle w:val="Heading2"/>
      </w:pPr>
      <w:r>
        <w:rPr>
          <w:rFonts w:ascii="Arial" w:cs="Arial" w:eastAsia="Arial" w:hAnsi="Arial"/>
          <w:b/>
          <w:bCs/>
          <w:sz w:val="26"/>
          <w:szCs w:val="26"/>
        </w:rPr>
        <w:t xml:space="preserve">build_gbl_model.py</w:t>
      </w:r>
    </w:p>
    <w:p>
      <w:pPr>
        <w:spacing w:after="120"/>
      </w:pPr>
      <w:r>
        <w:rPr>
          <w:rFonts w:ascii="Arial" w:cs="Arial" w:eastAsia="Arial" w:hAnsi="Arial"/>
          <w:sz w:val="22"/>
          <w:szCs w:val="22"/>
        </w:rPr>
        <w:t xml:space="preserve">Master runner for the GBL shared infrastructure layer. Runs the following scripts in order:</w:t>
      </w:r>
    </w:p>
    <w:p>
      <w:pPr>
        <w:spacing w:before="60" w:after="60"/>
        <w:ind w:left="720"/>
      </w:pPr>
      <w:r>
        <w:rPr>
          <w:rFonts w:ascii="Courier New" w:cs="Courier New" w:eastAsia="Courier New" w:hAnsi="Courier New"/>
          <w:color w:val="2E4057"/>
          <w:sz w:val="18"/>
          <w:szCs w:val="18"/>
        </w:rPr>
        <w:t xml:space="preserve">1. create_gbl_account.py</w:t>
      </w:r>
    </w:p>
    <w:p>
      <w:pPr>
        <w:spacing w:before="60" w:after="60"/>
        <w:ind w:left="720"/>
      </w:pPr>
      <w:r>
        <w:rPr>
          <w:rFonts w:ascii="Courier New" w:cs="Courier New" w:eastAsia="Courier New" w:hAnsi="Courier New"/>
          <w:color w:val="2E4057"/>
          <w:sz w:val="18"/>
          <w:szCs w:val="18"/>
        </w:rPr>
        <w:t xml:space="preserve">2. create_gbl_version.py</w:t>
      </w:r>
    </w:p>
    <w:p>
      <w:pPr>
        <w:spacing w:before="60" w:after="60"/>
        <w:ind w:left="720"/>
      </w:pPr>
      <w:r>
        <w:rPr>
          <w:rFonts w:ascii="Courier New" w:cs="Courier New" w:eastAsia="Courier New" w:hAnsi="Courier New"/>
          <w:color w:val="2E4057"/>
          <w:sz w:val="18"/>
          <w:szCs w:val="18"/>
        </w:rPr>
        <w:t xml:space="preserve">3. create_gbl_department.py</w:t>
      </w:r>
    </w:p>
    <w:p>
      <w:pPr>
        <w:spacing w:before="60" w:after="60"/>
        <w:ind w:left="720"/>
      </w:pPr>
      <w:r>
        <w:rPr>
          <w:rFonts w:ascii="Courier New" w:cs="Courier New" w:eastAsia="Courier New" w:hAnsi="Courier New"/>
          <w:color w:val="2E4057"/>
          <w:sz w:val="18"/>
          <w:szCs w:val="18"/>
        </w:rPr>
        <w:t xml:space="preserve">4. create_gbl_currency_from.py</w:t>
      </w:r>
    </w:p>
    <w:p>
      <w:pPr>
        <w:spacing w:before="60" w:after="60"/>
        <w:ind w:left="720"/>
      </w:pPr>
      <w:r>
        <w:rPr>
          <w:rFonts w:ascii="Courier New" w:cs="Courier New" w:eastAsia="Courier New" w:hAnsi="Courier New"/>
          <w:color w:val="2E4057"/>
          <w:sz w:val="18"/>
          <w:szCs w:val="18"/>
        </w:rPr>
        <w:t xml:space="preserve">5. create_gbl_currency_to.py</w:t>
      </w:r>
    </w:p>
    <w:p>
      <w:pPr>
        <w:spacing w:before="60" w:after="60"/>
        <w:ind w:left="720"/>
      </w:pPr>
      <w:r>
        <w:rPr>
          <w:rFonts w:ascii="Courier New" w:cs="Courier New" w:eastAsia="Courier New" w:hAnsi="Courier New"/>
          <w:color w:val="2E4057"/>
          <w:sz w:val="18"/>
          <w:szCs w:val="18"/>
        </w:rPr>
        <w:t xml:space="preserve">6. create_gbl_assumptions.py</w:t>
      </w:r>
    </w:p>
    <w:p>
      <w:pPr>
        <w:spacing w:before="60" w:after="60"/>
        <w:ind w:left="720"/>
      </w:pPr>
      <w:r>
        <w:rPr>
          <w:rFonts w:ascii="Courier New" w:cs="Courier New" w:eastAsia="Courier New" w:hAnsi="Courier New"/>
          <w:color w:val="2E4057"/>
          <w:sz w:val="18"/>
          <w:szCs w:val="18"/>
        </w:rPr>
        <w:t xml:space="preserve">7. create_json_ti_meta_data_gbl_version.py</w:t>
      </w:r>
    </w:p>
    <w:p>
      <w:pPr>
        <w:spacing w:before="60" w:after="60"/>
        <w:ind w:left="720"/>
      </w:pPr>
      <w:r>
        <w:rPr>
          <w:rFonts w:ascii="Courier New" w:cs="Courier New" w:eastAsia="Courier New" w:hAnsi="Courier New"/>
          <w:color w:val="2E4057"/>
          <w:sz w:val="18"/>
          <w:szCs w:val="18"/>
        </w:rPr>
        <w:t xml:space="preserve">8. create_ti_meta_data_gbl_version.py</w:t>
      </w:r>
    </w:p>
    <w:p>
      <w:pPr>
        <w:spacing w:after="160"/>
      </w:pPr>
      <w:r>
        <w:t xml:space="preserve"/>
      </w:r>
    </w:p>
    <w:p>
      <w:pPr>
        <w:spacing w:after="120"/>
      </w:pPr>
      <w:r>
        <w:rPr>
          <w:rFonts w:ascii="Arial" w:cs="Arial" w:eastAsia="Arial" w:hAnsi="Arial"/>
          <w:sz w:val="22"/>
          <w:szCs w:val="22"/>
        </w:rPr>
        <w:t xml:space="preserve">Includes a preflight check that verifies GBL Period exists before proceeding. If GBL Period is missing the script halts with instructions to run the Period TI scripts first.</w:t>
      </w:r>
    </w:p>
    <w:p>
      <w:pPr>
        <w:spacing w:after="160"/>
      </w:pPr>
      <w:r>
        <w:t xml:space="preserve"/>
      </w:r>
    </w:p>
    <w:p>
      <w:pPr>
        <w:spacing w:after="160"/>
      </w:pPr>
      <w:r>
        <w:t xml:space="preserve"/>
      </w:r>
    </w:p>
    <w:p>
      <w:pPr>
        <w:pStyle w:val="Heading2"/>
      </w:pPr>
      <w:r>
        <w:rPr>
          <w:rFonts w:ascii="Arial" w:cs="Arial" w:eastAsia="Arial" w:hAnsi="Arial"/>
          <w:b/>
          <w:bCs/>
          <w:sz w:val="26"/>
          <w:szCs w:val="26"/>
        </w:rPr>
        <w:t xml:space="preserve">build_cst_model.py</w:t>
      </w:r>
    </w:p>
    <w:p>
      <w:pPr>
        <w:spacing w:after="120"/>
      </w:pPr>
      <w:r>
        <w:rPr>
          <w:rFonts w:ascii="Arial" w:cs="Arial" w:eastAsia="Arial" w:hAnsi="Arial"/>
          <w:sz w:val="22"/>
          <w:szCs w:val="22"/>
        </w:rPr>
        <w:t xml:space="preserve">Master runner for the CST costing module. Runs the following scripts in order:</w:t>
      </w:r>
    </w:p>
    <w:p>
      <w:pPr>
        <w:spacing w:before="60" w:after="60"/>
        <w:ind w:left="720"/>
      </w:pPr>
      <w:r>
        <w:rPr>
          <w:rFonts w:ascii="Courier New" w:cs="Courier New" w:eastAsia="Courier New" w:hAnsi="Courier New"/>
          <w:color w:val="2E4057"/>
          <w:sz w:val="18"/>
          <w:szCs w:val="18"/>
        </w:rPr>
        <w:t xml:space="preserve">1. create_cst_dimensions.py</w:t>
      </w:r>
    </w:p>
    <w:p>
      <w:pPr>
        <w:spacing w:before="60" w:after="60"/>
        <w:ind w:left="720"/>
      </w:pPr>
      <w:r>
        <w:rPr>
          <w:rFonts w:ascii="Courier New" w:cs="Courier New" w:eastAsia="Courier New" w:hAnsi="Courier New"/>
          <w:color w:val="2E4057"/>
          <w:sz w:val="18"/>
          <w:szCs w:val="18"/>
        </w:rPr>
        <w:t xml:space="preserve">2. create_cst_cubes.py</w:t>
      </w:r>
    </w:p>
    <w:p>
      <w:pPr>
        <w:spacing w:before="60" w:after="60"/>
        <w:ind w:left="720"/>
      </w:pPr>
      <w:r>
        <w:rPr>
          <w:rFonts w:ascii="Courier New" w:cs="Courier New" w:eastAsia="Courier New" w:hAnsi="Courier New"/>
          <w:color w:val="2E4057"/>
          <w:sz w:val="18"/>
          <w:szCs w:val="18"/>
        </w:rPr>
        <w:t xml:space="preserve">3. create_cst_allocation_config.py</w:t>
      </w:r>
    </w:p>
    <w:p>
      <w:pPr>
        <w:spacing w:before="60" w:after="60"/>
        <w:ind w:left="720"/>
      </w:pPr>
      <w:r>
        <w:rPr>
          <w:rFonts w:ascii="Courier New" w:cs="Courier New" w:eastAsia="Courier New" w:hAnsi="Courier New"/>
          <w:color w:val="2E4057"/>
          <w:sz w:val="18"/>
          <w:szCs w:val="18"/>
        </w:rPr>
        <w:t xml:space="preserve">4. create_cst_subsets_and_views.py</w:t>
      </w:r>
    </w:p>
    <w:p>
      <w:pPr>
        <w:spacing w:after="160"/>
      </w:pPr>
      <w:r>
        <w:t xml:space="preserve"/>
      </w:r>
    </w:p>
    <w:p>
      <w:pPr>
        <w:spacing w:after="120"/>
      </w:pPr>
      <w:r>
        <w:rPr>
          <w:rFonts w:ascii="Arial" w:cs="Arial" w:eastAsia="Arial" w:hAnsi="Arial"/>
          <w:sz w:val="22"/>
          <w:szCs w:val="22"/>
        </w:rPr>
        <w:t xml:space="preserve">Includes a preflight check that verifies all GBL dependencies exist (GBL Account, GBL Version, GBL Period, GBL Department, GBL Assumptions, META DATA GBL Version). If any are missing the script halts with a clear list of what is missing.</w:t>
      </w:r>
    </w:p>
    <w:p>
      <w:pPr>
        <w:spacing w:after="160"/>
      </w:pPr>
      <w:r>
        <w:t xml:space="preserve"/>
      </w:r>
    </w:p>
    <w:p>
      <w:pPr>
        <w:pStyle w:val="Heading2"/>
      </w:pPr>
      <w:r>
        <w:rPr>
          <w:rFonts w:ascii="Arial" w:cs="Arial" w:eastAsia="Arial" w:hAnsi="Arial"/>
          <w:b/>
          <w:bCs/>
          <w:sz w:val="26"/>
          <w:szCs w:val="26"/>
        </w:rPr>
        <w:t xml:space="preserve">cleanup_gbl_model.py</w:t>
      </w:r>
    </w:p>
    <w:p>
      <w:pPr>
        <w:spacing w:after="120"/>
      </w:pPr>
      <w:r>
        <w:rPr>
          <w:rFonts w:ascii="Arial" w:cs="Arial" w:eastAsia="Arial" w:hAnsi="Arial"/>
          <w:sz w:val="22"/>
          <w:szCs w:val="22"/>
        </w:rPr>
        <w:t xml:space="preserve">Deletes all GBL shared infrastructure objects before a clean rebuild. Removes:</w:t>
      </w:r>
    </w:p>
    <w:p>
      <w:pPr>
        <w:spacing w:before="60" w:after="60"/>
        <w:ind w:left="720"/>
      </w:pPr>
      <w:r>
        <w:rPr>
          <w:rFonts w:ascii="Courier New" w:cs="Courier New" w:eastAsia="Courier New" w:hAnsi="Courier New"/>
          <w:color w:val="2E4057"/>
          <w:sz w:val="18"/>
          <w:szCs w:val="18"/>
        </w:rPr>
        <w:t xml:space="preserve">Cubes:       GBL Assumptions</w:t>
      </w:r>
    </w:p>
    <w:p>
      <w:pPr>
        <w:spacing w:before="60" w:after="60"/>
        <w:ind w:left="720"/>
      </w:pPr>
      <w:r>
        <w:rPr>
          <w:rFonts w:ascii="Courier New" w:cs="Courier New" w:eastAsia="Courier New" w:hAnsi="Courier New"/>
          <w:color w:val="2E4057"/>
          <w:sz w:val="18"/>
          <w:szCs w:val="18"/>
        </w:rPr>
        <w:t xml:space="preserve">Dimensions:  GBL Account, GBL Version, GBL Department</w:t>
      </w:r>
    </w:p>
    <w:p>
      <w:pPr>
        <w:spacing w:before="60" w:after="60"/>
        <w:ind w:left="720"/>
      </w:pPr>
      <w:r>
        <w:rPr>
          <w:rFonts w:ascii="Courier New" w:cs="Courier New" w:eastAsia="Courier New" w:hAnsi="Courier New"/>
          <w:color w:val="2E4057"/>
          <w:sz w:val="18"/>
          <w:szCs w:val="18"/>
        </w:rPr>
        <w:t xml:space="preserve">             GBL Currency From, GBL Currency To, GBL Assumptions Measure</w:t>
      </w:r>
    </w:p>
    <w:p>
      <w:pPr>
        <w:spacing w:before="60" w:after="60"/>
        <w:ind w:left="720"/>
      </w:pPr>
      <w:r>
        <w:rPr>
          <w:rFonts w:ascii="Courier New" w:cs="Courier New" w:eastAsia="Courier New" w:hAnsi="Courier New"/>
          <w:color w:val="2E4057"/>
          <w:sz w:val="18"/>
          <w:szCs w:val="18"/>
        </w:rPr>
        <w:t xml:space="preserve">TI Process:  META DATA GBL Version</w:t>
      </w:r>
    </w:p>
    <w:p>
      <w:pPr>
        <w:spacing w:after="160"/>
      </w:pPr>
      <w:r>
        <w:t xml:space="preserve"/>
      </w:r>
    </w:p>
    <w:p>
      <w:pPr>
        <w:spacing w:after="120"/>
      </w:pPr>
      <w:r>
        <w:rPr>
          <w:rFonts w:ascii="Arial" w:cs="Arial" w:eastAsia="Arial" w:hAnsi="Arial"/>
          <w:sz w:val="22"/>
          <w:szCs w:val="22"/>
        </w:rPr>
        <w:t xml:space="preserve">Does NOT touch GBL Period — that is managed independently via its own TI process.</w:t>
      </w:r>
    </w:p>
    <w:p>
      <w:pPr>
        <w:spacing w:after="160"/>
      </w:pPr>
      <w:r>
        <w:t xml:space="preserve"/>
      </w:r>
    </w:p>
    <w:p>
      <w:pPr>
        <w:spacing w:after="120"/>
      </w:pPr>
      <w:r>
        <w:rPr>
          <w:rFonts w:ascii="Arial" w:cs="Arial" w:eastAsia="Arial" w:hAnsi="Arial"/>
          <w:b/>
          <w:bCs/>
          <w:sz w:val="22"/>
          <w:szCs w:val="22"/>
        </w:rPr>
        <w:t xml:space="preserve">CRITICAL — Cleanup Order</w:t>
      </w:r>
    </w:p>
    <w:p>
      <w:pPr>
        <w:spacing w:after="120"/>
      </w:pPr>
      <w:r>
        <w:rPr>
          <w:rFonts w:ascii="Arial" w:cs="Arial" w:eastAsia="Arial" w:hAnsi="Arial"/>
          <w:sz w:val="22"/>
          <w:szCs w:val="22"/>
        </w:rPr>
        <w:t xml:space="preserve">TM1 will not allow deletion of a dimension that is still in use by a cube. Since CST cubes reference GBL dimensions, CST must always be cleaned up before GBL. Failure to follow this order will result in errors.</w:t>
      </w:r>
    </w:p>
    <w:p>
      <w:pPr>
        <w:spacing w:after="160"/>
      </w:pPr>
      <w:r>
        <w:t xml:space="preserve"/>
      </w:r>
    </w:p>
    <w:p>
      <w:pPr>
        <w:spacing w:after="120"/>
      </w:pPr>
      <w:r>
        <w:rPr>
          <w:rFonts w:ascii="Arial" w:cs="Arial" w:eastAsia="Arial" w:hAnsi="Arial"/>
          <w:sz w:val="22"/>
          <w:szCs w:val="22"/>
        </w:rPr>
        <w:t xml:space="preserve">Always clean in reverse dependency order:</w:t>
      </w:r>
    </w:p>
    <w:p>
      <w:pPr>
        <w:spacing w:before="60" w:after="60"/>
        <w:ind w:left="720"/>
      </w:pPr>
      <w:r>
        <w:rPr>
          <w:rFonts w:ascii="Courier New" w:cs="Courier New" w:eastAsia="Courier New" w:hAnsi="Courier New"/>
          <w:color w:val="2E4057"/>
          <w:sz w:val="18"/>
          <w:szCs w:val="18"/>
        </w:rPr>
        <w:t xml:space="preserve">1. python3 cleanup_cst_model.py   ← removes CST cubes and dims first</w:t>
      </w:r>
    </w:p>
    <w:p>
      <w:pPr>
        <w:spacing w:before="60" w:after="60"/>
        <w:ind w:left="720"/>
      </w:pPr>
      <w:r>
        <w:rPr>
          <w:rFonts w:ascii="Courier New" w:cs="Courier New" w:eastAsia="Courier New" w:hAnsi="Courier New"/>
          <w:color w:val="2E4057"/>
          <w:sz w:val="18"/>
          <w:szCs w:val="18"/>
        </w:rPr>
        <w:t xml:space="preserve">2. python3 cleanup_gbl_model.py   ← now safe to remove GBL dims</w:t>
      </w:r>
    </w:p>
    <w:p>
      <w:pPr>
        <w:spacing w:after="160"/>
      </w:pPr>
      <w:r>
        <w:t xml:space="preserve"/>
      </w:r>
    </w:p>
    <w:p>
      <w:pPr>
        <w:spacing w:after="120"/>
      </w:pPr>
      <w:r>
        <w:rPr>
          <w:rFonts w:ascii="Arial" w:cs="Arial" w:eastAsia="Arial" w:hAnsi="Arial"/>
          <w:sz w:val="22"/>
          <w:szCs w:val="22"/>
        </w:rPr>
        <w:t xml:space="preserve">Always build in forward dependency order:</w:t>
      </w:r>
    </w:p>
    <w:p>
      <w:pPr>
        <w:spacing w:before="60" w:after="60"/>
        <w:ind w:left="720"/>
      </w:pPr>
      <w:r>
        <w:rPr>
          <w:rFonts w:ascii="Courier New" w:cs="Courier New" w:eastAsia="Courier New" w:hAnsi="Courier New"/>
          <w:color w:val="2E4057"/>
          <w:sz w:val="18"/>
          <w:szCs w:val="18"/>
        </w:rPr>
        <w:t xml:space="preserve">1. python3 build_gbl_model.py     ← GBL infrastructure first</w:t>
      </w:r>
    </w:p>
    <w:p>
      <w:pPr>
        <w:spacing w:before="60" w:after="60"/>
        <w:ind w:left="720"/>
      </w:pPr>
      <w:r>
        <w:rPr>
          <w:rFonts w:ascii="Courier New" w:cs="Courier New" w:eastAsia="Courier New" w:hAnsi="Courier New"/>
          <w:color w:val="2E4057"/>
          <w:sz w:val="18"/>
          <w:szCs w:val="18"/>
        </w:rPr>
        <w:t xml:space="preserve">2. python3 build_cst_model.py     ← CST depends on GBL</w:t>
      </w:r>
    </w:p>
    <w:p>
      <w:pPr>
        <w:spacing w:after="160"/>
      </w:pPr>
      <w:r>
        <w:t xml:space="preserve"/>
      </w:r>
    </w:p>
    <w:p>
      <w:pPr>
        <w:pStyle w:val="Heading2"/>
      </w:pPr>
      <w:r>
        <w:rPr>
          <w:rFonts w:ascii="Arial" w:cs="Arial" w:eastAsia="Arial" w:hAnsi="Arial"/>
          <w:b/>
          <w:bCs/>
          <w:sz w:val="26"/>
          <w:szCs w:val="26"/>
        </w:rPr>
        <w:t xml:space="preserve">cleanup_cst_model.py</w:t>
      </w:r>
    </w:p>
    <w:p>
      <w:pPr>
        <w:spacing w:after="120"/>
      </w:pPr>
      <w:r>
        <w:rPr>
          <w:rFonts w:ascii="Arial" w:cs="Arial" w:eastAsia="Arial" w:hAnsi="Arial"/>
          <w:sz w:val="22"/>
          <w:szCs w:val="22"/>
        </w:rPr>
        <w:t xml:space="preserve">Deletes all CST module objects before a clean rebuild. Removes:</w:t>
      </w:r>
    </w:p>
    <w:p>
      <w:pPr>
        <w:spacing w:before="60" w:after="60"/>
        <w:ind w:left="720"/>
      </w:pPr>
      <w:r>
        <w:rPr>
          <w:rFonts w:ascii="Courier New" w:cs="Courier New" w:eastAsia="Courier New" w:hAnsi="Courier New"/>
          <w:color w:val="2E4057"/>
          <w:sz w:val="18"/>
          <w:szCs w:val="18"/>
        </w:rPr>
        <w:t xml:space="preserve">Cubes:       All 8 CST cubes + CST Allocation Config</w:t>
      </w:r>
    </w:p>
    <w:p>
      <w:pPr>
        <w:spacing w:before="60" w:after="60"/>
        <w:ind w:left="720"/>
      </w:pPr>
      <w:r>
        <w:rPr>
          <w:rFonts w:ascii="Courier New" w:cs="Courier New" w:eastAsia="Courier New" w:hAnsi="Courier New"/>
          <w:color w:val="2E4057"/>
          <w:sz w:val="18"/>
          <w:szCs w:val="18"/>
        </w:rPr>
        <w:t xml:space="preserve">Dimensions:  GBL Department, all CST dimensions, all CST measure dimensions</w:t>
      </w:r>
    </w:p>
    <w:p>
      <w:pPr>
        <w:spacing w:after="160"/>
      </w:pPr>
      <w:r>
        <w:t xml:space="preserve"/>
      </w:r>
    </w:p>
    <w:p>
      <w:pPr>
        <w:spacing w:after="120"/>
      </w:pPr>
      <w:r>
        <w:rPr>
          <w:rFonts w:ascii="Arial" w:cs="Arial" w:eastAsia="Arial" w:hAnsi="Arial"/>
          <w:sz w:val="22"/>
          <w:szCs w:val="22"/>
        </w:rPr>
        <w:t xml:space="preserve">Does NOT touch GBL dimensions — those are managed by cleanup_gbl_model.py.</w:t>
      </w:r>
    </w:p>
    <w:p>
      <w:pPr>
        <w:spacing w:after="160"/>
      </w:pPr>
      <w:r>
        <w:t xml:space="preserve"/>
      </w:r>
    </w:p>
    <w:p>
      <w:r>
        <w:br w:type="page"/>
      </w:r>
    </w:p>
    <w:p>
      <w:pPr>
        <w:pStyle w:val="Heading1"/>
      </w:pPr>
      <w:r>
        <w:rPr>
          <w:rFonts w:ascii="Arial" w:cs="Arial" w:eastAsia="Arial" w:hAnsi="Arial"/>
          <w:b/>
          <w:bCs/>
          <w:sz w:val="32"/>
          <w:szCs w:val="32"/>
        </w:rPr>
        <w:t xml:space="preserve">4. GBL Scripts</w:t>
      </w:r>
    </w:p>
    <w:p>
      <w:pPr>
        <w:pStyle w:val="Heading2"/>
      </w:pPr>
      <w:r>
        <w:rPr>
          <w:rFonts w:ascii="Arial" w:cs="Arial" w:eastAsia="Arial" w:hAnsi="Arial"/>
          <w:b/>
          <w:bCs/>
          <w:sz w:val="26"/>
          <w:szCs w:val="26"/>
        </w:rPr>
        <w:t xml:space="preserve">create_gbl_account.py</w:t>
      </w:r>
    </w:p>
    <w:p>
      <w:pPr>
        <w:spacing w:after="120"/>
      </w:pPr>
      <w:r>
        <w:rPr>
          <w:rFonts w:ascii="Arial" w:cs="Arial" w:eastAsia="Arial" w:hAnsi="Arial"/>
          <w:sz w:val="22"/>
          <w:szCs w:val="22"/>
        </w:rPr>
        <w:t xml:space="preserve">Builds the GBL Account dimension using TM1py. This is the chart of accounts shared across all modules.</w:t>
      </w:r>
    </w:p>
    <w:p>
      <w:pPr>
        <w:spacing w:after="160"/>
      </w:pPr>
      <w:r>
        <w:t xml:space="preserve"/>
      </w:r>
    </w:p>
    <w:p>
      <w:pPr>
        <w:spacing w:after="120"/>
      </w:pPr>
      <w:r>
        <w:rPr>
          <w:rFonts w:ascii="Arial" w:cs="Arial" w:eastAsia="Arial" w:hAnsi="Arial"/>
          <w:sz w:val="22"/>
          <w:szCs w:val="22"/>
        </w:rPr>
        <w:t xml:space="preserve">Element pattern: Account codes as element names (4001, 5001, 6003 etc). Two aliases per element:</w:t>
      </w:r>
    </w:p>
    <w:p>
      <w:pPr>
        <w:spacing w:before="60" w:after="60"/>
        <w:ind w:left="720"/>
      </w:pPr>
      <w:r>
        <w:rPr>
          <w:rFonts w:ascii="Courier New" w:cs="Courier New" w:eastAsia="Courier New" w:hAnsi="Courier New"/>
          <w:color w:val="2E4057"/>
          <w:sz w:val="18"/>
          <w:szCs w:val="18"/>
        </w:rPr>
        <w:t xml:space="preserve">Code &amp; Desc  e.g.  '6003 Building Depreciation'</w:t>
      </w:r>
    </w:p>
    <w:p>
      <w:pPr>
        <w:spacing w:before="60" w:after="60"/>
        <w:ind w:left="720"/>
      </w:pPr>
      <w:r>
        <w:rPr>
          <w:rFonts w:ascii="Courier New" w:cs="Courier New" w:eastAsia="Courier New" w:hAnsi="Courier New"/>
          <w:color w:val="2E4057"/>
          <w:sz w:val="18"/>
          <w:szCs w:val="18"/>
        </w:rPr>
        <w:t xml:space="preserve">Desc         e.g.  'Building Depreciation'</w:t>
      </w:r>
    </w:p>
    <w:p>
      <w:pPr>
        <w:spacing w:after="160"/>
      </w:pPr>
      <w:r>
        <w:t xml:space="preserve"/>
      </w:r>
    </w:p>
    <w:p>
      <w:pPr>
        <w:spacing w:after="120"/>
      </w:pPr>
      <w:r>
        <w:rPr>
          <w:rFonts w:ascii="Arial" w:cs="Arial" w:eastAsia="Arial" w:hAnsi="Arial"/>
          <w:sz w:val="22"/>
          <w:szCs w:val="22"/>
        </w:rPr>
        <w:t xml:space="preserve">Hierarchy:</w:t>
      </w:r>
    </w:p>
    <w:p>
      <w:pPr>
        <w:spacing w:before="60" w:after="60"/>
        <w:ind w:left="720"/>
      </w:pPr>
      <w:r>
        <w:rPr>
          <w:rFonts w:ascii="Courier New" w:cs="Courier New" w:eastAsia="Courier New" w:hAnsi="Courier New"/>
          <w:color w:val="2E4057"/>
          <w:sz w:val="18"/>
          <w:szCs w:val="18"/>
        </w:rPr>
        <w:t xml:space="preserve">NET PROFIT</w:t>
      </w:r>
    </w:p>
    <w:p>
      <w:pPr>
        <w:spacing w:before="60" w:after="60"/>
        <w:ind w:left="720"/>
      </w:pPr>
      <w:r>
        <w:rPr>
          <w:rFonts w:ascii="Courier New" w:cs="Courier New" w:eastAsia="Courier New" w:hAnsi="Courier New"/>
          <w:color w:val="2E4057"/>
          <w:sz w:val="18"/>
          <w:szCs w:val="18"/>
        </w:rPr>
        <w:t xml:space="preserve">  TOTAL REVENUE           (accounts 4001–4005)</w:t>
      </w:r>
    </w:p>
    <w:p>
      <w:pPr>
        <w:spacing w:before="60" w:after="60"/>
        <w:ind w:left="720"/>
      </w:pPr>
      <w:r>
        <w:rPr>
          <w:rFonts w:ascii="Courier New" w:cs="Courier New" w:eastAsia="Courier New" w:hAnsi="Courier New"/>
          <w:color w:val="2E4057"/>
          <w:sz w:val="18"/>
          <w:szCs w:val="18"/>
        </w:rPr>
        <w:t xml:space="preserve">  TOTAL DIRECT COSTS      (accounts 5001–5003)</w:t>
      </w:r>
    </w:p>
    <w:p>
      <w:pPr>
        <w:spacing w:before="60" w:after="60"/>
        <w:ind w:left="720"/>
      </w:pPr>
      <w:r>
        <w:rPr>
          <w:rFonts w:ascii="Courier New" w:cs="Courier New" w:eastAsia="Courier New" w:hAnsi="Courier New"/>
          <w:color w:val="2E4057"/>
          <w:sz w:val="18"/>
          <w:szCs w:val="18"/>
        </w:rPr>
        <w:t xml:space="preserve">  TOTAL OVERHEAD          (accounts 6001–6026)</w:t>
      </w:r>
    </w:p>
    <w:p>
      <w:pPr>
        <w:spacing w:before="60" w:after="60"/>
        <w:ind w:left="720"/>
      </w:pPr>
      <w:r>
        <w:rPr>
          <w:rFonts w:ascii="Courier New" w:cs="Courier New" w:eastAsia="Courier New" w:hAnsi="Courier New"/>
          <w:color w:val="2E4057"/>
          <w:sz w:val="18"/>
          <w:szCs w:val="18"/>
        </w:rPr>
        <w:t xml:space="preserve">  ALLOCATED OVERHEAD      (accounts 7001–7009)</w:t>
      </w:r>
    </w:p>
    <w:p>
      <w:pPr>
        <w:spacing w:after="160"/>
      </w:pPr>
      <w:r>
        <w:t xml:space="preserve"/>
      </w:r>
    </w:p>
    <w:p>
      <w:pPr>
        <w:pStyle w:val="Heading2"/>
      </w:pPr>
      <w:r>
        <w:rPr>
          <w:rFonts w:ascii="Arial" w:cs="Arial" w:eastAsia="Arial" w:hAnsi="Arial"/>
          <w:b/>
          <w:bCs/>
          <w:sz w:val="26"/>
          <w:szCs w:val="26"/>
        </w:rPr>
        <w:t xml:space="preserve">create_gbl_version.py</w:t>
      </w:r>
    </w:p>
    <w:p>
      <w:pPr>
        <w:spacing w:after="120"/>
      </w:pPr>
      <w:r>
        <w:rPr>
          <w:rFonts w:ascii="Arial" w:cs="Arial" w:eastAsia="Arial" w:hAnsi="Arial"/>
          <w:sz w:val="22"/>
          <w:szCs w:val="22"/>
        </w:rPr>
        <w:t xml:space="preserve">Builds the GBL Version dimension using TM1py.</w:t>
      </w:r>
    </w:p>
    <w:p>
      <w:pPr>
        <w:spacing w:after="160"/>
      </w:pPr>
      <w:r>
        <w:t xml:space="preserve"/>
      </w:r>
    </w:p>
    <w:p>
      <w:pPr>
        <w:spacing w:after="120"/>
      </w:pPr>
      <w:r>
        <w:rPr>
          <w:rFonts w:ascii="Arial" w:cs="Arial" w:eastAsia="Arial" w:hAnsi="Arial"/>
          <w:sz w:val="22"/>
          <w:szCs w:val="22"/>
        </w:rPr>
        <w:t xml:space="preserve">Elements: Actual, Budget, Forecast</w:t>
      </w:r>
    </w:p>
    <w:p>
      <w:pPr>
        <w:spacing w:after="160"/>
      </w:pPr>
      <w:r>
        <w:t xml:space="preserve"/>
      </w:r>
    </w:p>
    <w:p>
      <w:pPr>
        <w:spacing w:after="120"/>
      </w:pPr>
      <w:r>
        <w:rPr>
          <w:rFonts w:ascii="Arial" w:cs="Arial" w:eastAsia="Arial" w:hAnsi="Arial"/>
          <w:sz w:val="22"/>
          <w:szCs w:val="22"/>
        </w:rPr>
        <w:t xml:space="preserve">Attributes defined and explicitly created at build time. Values are edited directly in PAW via the }ElementAttributes_GBL Version cube — this is the admin settings screen for version configuration.</w:t>
      </w:r>
    </w:p>
    <w:p>
      <w:pPr>
        <w:spacing w:before="60" w:after="60"/>
        <w:ind w:left="720"/>
      </w:pPr>
      <w:r>
        <w:rPr>
          <w:rFonts w:ascii="Courier New" w:cs="Courier New" w:eastAsia="Courier New" w:hAnsi="Courier New"/>
          <w:color w:val="2E4057"/>
          <w:sz w:val="18"/>
          <w:szCs w:val="18"/>
        </w:rPr>
        <w:t xml:space="preserve">Desc                     Alias   — display name</w:t>
      </w:r>
    </w:p>
    <w:p>
      <w:pPr>
        <w:spacing w:before="60" w:after="60"/>
        <w:ind w:left="720"/>
      </w:pPr>
      <w:r>
        <w:rPr>
          <w:rFonts w:ascii="Courier New" w:cs="Courier New" w:eastAsia="Courier New" w:hAnsi="Courier New"/>
          <w:color w:val="2E4057"/>
          <w:sz w:val="18"/>
          <w:szCs w:val="18"/>
        </w:rPr>
        <w:t xml:space="preserve">Is Snapshot              String  — Y/N, locks version from recalculation</w:t>
      </w:r>
    </w:p>
    <w:p>
      <w:pPr>
        <w:spacing w:before="60" w:after="60"/>
        <w:ind w:left="720"/>
      </w:pPr>
      <w:r>
        <w:rPr>
          <w:rFonts w:ascii="Courier New" w:cs="Courier New" w:eastAsia="Courier New" w:hAnsi="Courier New"/>
          <w:color w:val="2E4057"/>
          <w:sz w:val="18"/>
          <w:szCs w:val="18"/>
        </w:rPr>
        <w:t xml:space="preserve">Start Period             String  — first active period e.g. 2025-04</w:t>
      </w:r>
    </w:p>
    <w:p>
      <w:pPr>
        <w:spacing w:before="60" w:after="60"/>
        <w:ind w:left="720"/>
      </w:pPr>
      <w:r>
        <w:rPr>
          <w:rFonts w:ascii="Courier New" w:cs="Courier New" w:eastAsia="Courier New" w:hAnsi="Courier New"/>
          <w:color w:val="2E4057"/>
          <w:sz w:val="18"/>
          <w:szCs w:val="18"/>
        </w:rPr>
        <w:t xml:space="preserve">End Period               String  — last active period (manual override)</w:t>
      </w:r>
    </w:p>
    <w:p>
      <w:pPr>
        <w:spacing w:before="60" w:after="60"/>
        <w:ind w:left="720"/>
      </w:pPr>
      <w:r>
        <w:rPr>
          <w:rFonts w:ascii="Courier New" w:cs="Courier New" w:eastAsia="Courier New" w:hAnsi="Courier New"/>
          <w:color w:val="2E4057"/>
          <w:sz w:val="18"/>
          <w:szCs w:val="18"/>
        </w:rPr>
        <w:t xml:space="preserve">Number of Rolling Months Numeric — if &gt; 0, End Period is auto-calculated</w:t>
      </w:r>
    </w:p>
    <w:p>
      <w:pPr>
        <w:spacing w:after="160"/>
      </w:pPr>
      <w:r>
        <w:t xml:space="preserve"/>
      </w:r>
    </w:p>
    <w:p>
      <w:pPr>
        <w:spacing w:after="120"/>
      </w:pPr>
      <w:r>
        <w:rPr>
          <w:rFonts w:ascii="Arial" w:cs="Arial" w:eastAsia="Arial" w:hAnsi="Arial"/>
          <w:sz w:val="22"/>
          <w:szCs w:val="22"/>
        </w:rPr>
        <w:t xml:space="preserve">Note: TM1py update_or_create does not add new attributes to existing dimensions. The script explicitly checks for each attribute and creates it if missing, making it safe to re-run on an existing environment.</w:t>
      </w:r>
    </w:p>
    <w:p>
      <w:pPr>
        <w:spacing w:after="160"/>
      </w:pPr>
      <w:r>
        <w:t xml:space="preserve"/>
      </w:r>
    </w:p>
    <w:p>
      <w:pPr>
        <w:spacing w:after="120"/>
      </w:pPr>
      <w:r>
        <w:rPr>
          <w:rFonts w:ascii="Arial" w:cs="Arial" w:eastAsia="Arial" w:hAnsi="Arial"/>
          <w:sz w:val="22"/>
          <w:szCs w:val="22"/>
        </w:rPr>
        <w:t xml:space="preserve">Default values set at initial build:</w:t>
      </w:r>
    </w:p>
    <w:p>
      <w:pPr>
        <w:spacing w:before="60" w:after="60"/>
        <w:ind w:left="720"/>
      </w:pPr>
      <w:r>
        <w:rPr>
          <w:rFonts w:ascii="Courier New" w:cs="Courier New" w:eastAsia="Courier New" w:hAnsi="Courier New"/>
          <w:color w:val="2E4057"/>
          <w:sz w:val="18"/>
          <w:szCs w:val="18"/>
        </w:rPr>
        <w:t xml:space="preserve">Actual:   Start Period = 2025-04  End Period = 2026-02  Rolling Months = 0</w:t>
      </w:r>
    </w:p>
    <w:p>
      <w:pPr>
        <w:spacing w:before="60" w:after="60"/>
        <w:ind w:left="720"/>
      </w:pPr>
      <w:r>
        <w:rPr>
          <w:rFonts w:ascii="Courier New" w:cs="Courier New" w:eastAsia="Courier New" w:hAnsi="Courier New"/>
          <w:color w:val="2E4057"/>
          <w:sz w:val="18"/>
          <w:szCs w:val="18"/>
        </w:rPr>
        <w:t xml:space="preserve">Budget:   Start Period = 2025-04  End Period = 2026-03  Rolling Months = 0</w:t>
      </w:r>
    </w:p>
    <w:p>
      <w:pPr>
        <w:spacing w:before="60" w:after="60"/>
        <w:ind w:left="720"/>
      </w:pPr>
      <w:r>
        <w:rPr>
          <w:rFonts w:ascii="Courier New" w:cs="Courier New" w:eastAsia="Courier New" w:hAnsi="Courier New"/>
          <w:color w:val="2E4057"/>
          <w:sz w:val="18"/>
          <w:szCs w:val="18"/>
        </w:rPr>
        <w:t xml:space="preserve">Forecast: Start Period = 2026-03  Rolling Months = 18   End Period = auto</w:t>
      </w:r>
    </w:p>
    <w:p>
      <w:pPr>
        <w:spacing w:after="160"/>
      </w:pPr>
      <w:r>
        <w:t xml:space="preserve"/>
      </w:r>
    </w:p>
    <w:p>
      <w:pPr>
        <w:spacing w:after="120"/>
      </w:pPr>
      <w:r>
        <w:rPr>
          <w:rFonts w:ascii="Arial" w:cs="Arial" w:eastAsia="Arial" w:hAnsi="Arial"/>
          <w:sz w:val="22"/>
          <w:szCs w:val="22"/>
        </w:rPr>
        <w:t xml:space="preserve">Note: Before ABC and After ABC have been removed from GBL Version. The Before/After comparison is now handled by the CST Allocation Stage dimension.</w:t>
      </w:r>
    </w:p>
    <w:p>
      <w:pPr>
        <w:spacing w:after="160"/>
      </w:pPr>
      <w:r>
        <w:t xml:space="preserve"/>
      </w:r>
    </w:p>
    <w:p>
      <w:pPr>
        <w:pStyle w:val="Heading2"/>
      </w:pPr>
      <w:r>
        <w:rPr>
          <w:rFonts w:ascii="Arial" w:cs="Arial" w:eastAsia="Arial" w:hAnsi="Arial"/>
          <w:b/>
          <w:bCs/>
          <w:sz w:val="26"/>
          <w:szCs w:val="26"/>
        </w:rPr>
        <w:t xml:space="preserve">create_gbl_department.py</w:t>
      </w:r>
    </w:p>
    <w:p>
      <w:pPr>
        <w:spacing w:after="120"/>
      </w:pPr>
      <w:r>
        <w:rPr>
          <w:rFonts w:ascii="Arial" w:cs="Arial" w:eastAsia="Arial" w:hAnsi="Arial"/>
          <w:sz w:val="22"/>
          <w:szCs w:val="22"/>
        </w:rPr>
        <w:t xml:space="preserve">Builds the GBL Department dimension using TM1py. This is a global dimension shared across all modules — it represents the organisational structure of the business.</w:t>
      </w:r>
    </w:p>
    <w:p>
      <w:pPr>
        <w:spacing w:after="160"/>
      </w:pPr>
      <w:r>
        <w:t xml:space="preserve"/>
      </w:r>
    </w:p>
    <w:p>
      <w:pPr>
        <w:spacing w:after="120"/>
      </w:pPr>
      <w:r>
        <w:rPr>
          <w:rFonts w:ascii="Arial" w:cs="Arial" w:eastAsia="Arial" w:hAnsi="Arial"/>
          <w:sz w:val="22"/>
          <w:szCs w:val="22"/>
        </w:rPr>
        <w:t xml:space="preserve">Coding scheme: D001–D017, Code &amp; Desc + Desc aliases. Three-group hierarchy:</w:t>
      </w:r>
    </w:p>
    <w:p>
      <w:pPr>
        <w:spacing w:before="60" w:after="60"/>
        <w:ind w:left="720"/>
      </w:pPr>
      <w:r>
        <w:rPr>
          <w:rFonts w:ascii="Courier New" w:cs="Courier New" w:eastAsia="Courier New" w:hAnsi="Courier New"/>
          <w:color w:val="2E4057"/>
          <w:sz w:val="18"/>
          <w:szCs w:val="18"/>
        </w:rPr>
        <w:t xml:space="preserve">Total Departments</w:t>
      </w:r>
    </w:p>
    <w:p>
      <w:pPr>
        <w:spacing w:before="60" w:after="60"/>
        <w:ind w:left="720"/>
      </w:pPr>
      <w:r>
        <w:rPr>
          <w:rFonts w:ascii="Courier New" w:cs="Courier New" w:eastAsia="Courier New" w:hAnsi="Courier New"/>
          <w:color w:val="2E4057"/>
          <w:sz w:val="18"/>
          <w:szCs w:val="18"/>
        </w:rPr>
        <w:t xml:space="preserve">  Total Clinical Departments      D001–D008</w:t>
      </w:r>
    </w:p>
    <w:p>
      <w:pPr>
        <w:spacing w:before="60" w:after="60"/>
        <w:ind w:left="720"/>
      </w:pPr>
      <w:r>
        <w:rPr>
          <w:rFonts w:ascii="Courier New" w:cs="Courier New" w:eastAsia="Courier New" w:hAnsi="Courier New"/>
          <w:color w:val="2E4057"/>
          <w:sz w:val="18"/>
          <w:szCs w:val="18"/>
        </w:rPr>
        <w:t xml:space="preserve">  Total Administrative Departments D009–D012</w:t>
      </w:r>
    </w:p>
    <w:p>
      <w:pPr>
        <w:spacing w:before="60" w:after="60"/>
        <w:ind w:left="720"/>
      </w:pPr>
      <w:r>
        <w:rPr>
          <w:rFonts w:ascii="Courier New" w:cs="Courier New" w:eastAsia="Courier New" w:hAnsi="Courier New"/>
          <w:color w:val="2E4057"/>
          <w:sz w:val="18"/>
          <w:szCs w:val="18"/>
        </w:rPr>
        <w:t xml:space="preserve">  Total Support Services           D013–D017</w:t>
      </w:r>
    </w:p>
    <w:p>
      <w:pPr>
        <w:spacing w:after="160"/>
      </w:pPr>
      <w:r>
        <w:t xml:space="preserve"/>
      </w:r>
    </w:p>
    <w:p>
      <w:pPr>
        <w:pStyle w:val="Heading2"/>
      </w:pPr>
      <w:r>
        <w:rPr>
          <w:rFonts w:ascii="Arial" w:cs="Arial" w:eastAsia="Arial" w:hAnsi="Arial"/>
          <w:b/>
          <w:bCs/>
          <w:sz w:val="26"/>
          <w:szCs w:val="26"/>
        </w:rPr>
        <w:t xml:space="preserve">create_gbl_currency_from.py</w:t>
      </w:r>
    </w:p>
    <w:p>
      <w:pPr>
        <w:spacing w:after="120"/>
      </w:pPr>
      <w:r>
        <w:rPr>
          <w:rFonts w:ascii="Arial" w:cs="Arial" w:eastAsia="Arial" w:hAnsi="Arial"/>
          <w:sz w:val="22"/>
          <w:szCs w:val="22"/>
        </w:rPr>
        <w:t xml:space="preserve">Builds the GBL Currency From dimension. Used in the FIN Exchange Rate cube as the source currency axis. Contains the currencies most relevant to Australian healthcare operations.</w:t>
      </w:r>
    </w:p>
    <w:p>
      <w:pPr>
        <w:spacing w:after="160"/>
      </w:pPr>
      <w:r>
        <w:t xml:space="preserve"/>
      </w:r>
    </w:p>
    <w:p>
      <w:pPr>
        <w:spacing w:after="120"/>
      </w:pPr>
      <w:r>
        <w:rPr>
          <w:rFonts w:ascii="Arial" w:cs="Arial" w:eastAsia="Arial" w:hAnsi="Arial"/>
          <w:sz w:val="22"/>
          <w:szCs w:val="22"/>
        </w:rPr>
        <w:t xml:space="preserve">Elements: AUD, USD, EUR, GBP, NZD, SGD, JPY, CNY. Desc alias only.</w:t>
      </w:r>
    </w:p>
    <w:p>
      <w:pPr>
        <w:spacing w:after="160"/>
      </w:pPr>
      <w:r>
        <w:t xml:space="preserve"/>
      </w:r>
    </w:p>
    <w:p>
      <w:pPr>
        <w:pStyle w:val="Heading2"/>
      </w:pPr>
      <w:r>
        <w:rPr>
          <w:rFonts w:ascii="Arial" w:cs="Arial" w:eastAsia="Arial" w:hAnsi="Arial"/>
          <w:b/>
          <w:bCs/>
          <w:sz w:val="26"/>
          <w:szCs w:val="26"/>
        </w:rPr>
        <w:t xml:space="preserve">create_gbl_currency_to.py</w:t>
      </w:r>
    </w:p>
    <w:p>
      <w:pPr>
        <w:spacing w:after="120"/>
      </w:pPr>
      <w:r>
        <w:rPr>
          <w:rFonts w:ascii="Arial" w:cs="Arial" w:eastAsia="Arial" w:hAnsi="Arial"/>
          <w:sz w:val="22"/>
          <w:szCs w:val="22"/>
        </w:rPr>
        <w:t xml:space="preserve">Builds the GBL Currency To dimension. Used in the FIN Exchange Rate cube as the target currency axis. Contains the same elements as GBL Currency From allowing conversion between any two supported currencies.</w:t>
      </w:r>
    </w:p>
    <w:p>
      <w:pPr>
        <w:spacing w:after="160"/>
      </w:pPr>
      <w:r>
        <w:t xml:space="preserve"/>
      </w:r>
    </w:p>
    <w:p>
      <w:pPr>
        <w:spacing w:after="120"/>
      </w:pPr>
      <w:r>
        <w:rPr>
          <w:rFonts w:ascii="Arial" w:cs="Arial" w:eastAsia="Arial" w:hAnsi="Arial"/>
          <w:sz w:val="22"/>
          <w:szCs w:val="22"/>
        </w:rPr>
        <w:t xml:space="preserve">Elements: AUD, USD, EUR, GBP, NZD, SGD, JPY, CNY. Desc alias only.</w:t>
      </w:r>
    </w:p>
    <w:p>
      <w:pPr>
        <w:spacing w:after="160"/>
      </w:pPr>
      <w:r>
        <w:t xml:space="preserve"/>
      </w:r>
    </w:p>
    <w:p>
      <w:pPr>
        <w:pStyle w:val="Heading2"/>
      </w:pPr>
      <w:r>
        <w:rPr>
          <w:rFonts w:ascii="Arial" w:cs="Arial" w:eastAsia="Arial" w:hAnsi="Arial"/>
          <w:b/>
          <w:bCs/>
          <w:sz w:val="26"/>
          <w:szCs w:val="26"/>
        </w:rPr>
        <w:t xml:space="preserve">create_gbl_assumptions.py</w:t>
      </w:r>
    </w:p>
    <w:p>
      <w:pPr>
        <w:spacing w:after="120"/>
      </w:pPr>
      <w:r>
        <w:rPr>
          <w:rFonts w:ascii="Arial" w:cs="Arial" w:eastAsia="Arial" w:hAnsi="Arial"/>
          <w:sz w:val="22"/>
          <w:szCs w:val="22"/>
        </w:rPr>
        <w:t xml:space="preserve">Builds the GBL Assumptions cube — the central control layer for the entire model. Every version-aware operational setting lives here by period.</w:t>
      </w:r>
    </w:p>
    <w:p>
      <w:pPr>
        <w:spacing w:after="160"/>
      </w:pPr>
      <w:r>
        <w:t xml:space="preserve"/>
      </w:r>
    </w:p>
    <w:p>
      <w:pPr>
        <w:spacing w:after="120"/>
      </w:pPr>
      <w:r>
        <w:rPr>
          <w:rFonts w:ascii="Arial" w:cs="Arial" w:eastAsia="Arial" w:hAnsi="Arial"/>
          <w:sz w:val="22"/>
          <w:szCs w:val="22"/>
        </w:rPr>
        <w:t xml:space="preserve">Objects created:</w:t>
      </w:r>
    </w:p>
    <w:p>
      <w:pPr>
        <w:spacing w:before="60" w:after="60"/>
        <w:ind w:left="720"/>
      </w:pPr>
      <w:r>
        <w:rPr>
          <w:rFonts w:ascii="Courier New" w:cs="Courier New" w:eastAsia="Courier New" w:hAnsi="Courier New"/>
          <w:color w:val="2E4057"/>
          <w:sz w:val="18"/>
          <w:szCs w:val="18"/>
        </w:rPr>
        <w:t xml:space="preserve">Dimension: GBL Assumptions Measure</w:t>
      </w:r>
    </w:p>
    <w:p>
      <w:pPr>
        <w:spacing w:before="60" w:after="60"/>
        <w:ind w:left="720"/>
      </w:pPr>
      <w:r>
        <w:rPr>
          <w:rFonts w:ascii="Courier New" w:cs="Courier New" w:eastAsia="Courier New" w:hAnsi="Courier New"/>
          <w:color w:val="2E4057"/>
          <w:sz w:val="18"/>
          <w:szCs w:val="18"/>
        </w:rPr>
        <w:t xml:space="preserve">Cube:      GBL Assumptions  (GBL Version x GBL Period x GBL Assumptions Measure)</w:t>
      </w:r>
    </w:p>
    <w:p>
      <w:pPr>
        <w:spacing w:after="160"/>
      </w:pPr>
      <w:r>
        <w:t xml:space="preserve"/>
      </w:r>
    </w:p>
    <w:p>
      <w:pPr>
        <w:spacing w:after="120"/>
      </w:pPr>
      <w:r>
        <w:rPr>
          <w:rFonts w:ascii="Arial" w:cs="Arial" w:eastAsia="Arial" w:hAnsi="Arial"/>
          <w:sz w:val="22"/>
          <w:szCs w:val="22"/>
        </w:rPr>
        <w:t xml:space="preserve">Measure elements:</w:t>
      </w:r>
    </w:p>
    <w:p>
      <w:pPr>
        <w:spacing w:before="60" w:after="60"/>
        <w:ind w:left="720"/>
      </w:pPr>
      <w:r>
        <w:rPr>
          <w:rFonts w:ascii="Courier New" w:cs="Courier New" w:eastAsia="Courier New" w:hAnsi="Courier New"/>
          <w:color w:val="2E4057"/>
          <w:sz w:val="18"/>
          <w:szCs w:val="18"/>
        </w:rPr>
        <w:t xml:space="preserve">Is Active            1 = period is valid for allocation run</w:t>
      </w:r>
    </w:p>
    <w:p>
      <w:pPr>
        <w:spacing w:before="60" w:after="60"/>
        <w:ind w:left="720"/>
      </w:pPr>
      <w:r>
        <w:rPr>
          <w:rFonts w:ascii="Courier New" w:cs="Courier New" w:eastAsia="Courier New" w:hAnsi="Courier New"/>
          <w:color w:val="2E4057"/>
          <w:sz w:val="18"/>
          <w:szCs w:val="18"/>
        </w:rPr>
        <w:t xml:space="preserve">Is Locked            1 = period is closed to further input</w:t>
      </w:r>
    </w:p>
    <w:p>
      <w:pPr>
        <w:spacing w:before="60" w:after="60"/>
        <w:ind w:left="720"/>
      </w:pPr>
      <w:r>
        <w:rPr>
          <w:rFonts w:ascii="Courier New" w:cs="Courier New" w:eastAsia="Courier New" w:hAnsi="Courier New"/>
          <w:color w:val="2E4057"/>
          <w:sz w:val="18"/>
          <w:szCs w:val="18"/>
        </w:rPr>
        <w:t xml:space="preserve">Current Period Flag  1 = this is the current open period</w:t>
      </w:r>
    </w:p>
    <w:p>
      <w:pPr>
        <w:spacing w:before="60" w:after="60"/>
        <w:ind w:left="720"/>
      </w:pPr>
      <w:r>
        <w:rPr>
          <w:rFonts w:ascii="Courier New" w:cs="Courier New" w:eastAsia="Courier New" w:hAnsi="Courier New"/>
          <w:color w:val="2E4057"/>
          <w:sz w:val="18"/>
          <w:szCs w:val="18"/>
        </w:rPr>
        <w:t xml:space="preserve">Working Days         Number of working days in this period</w:t>
      </w:r>
    </w:p>
    <w:p>
      <w:pPr>
        <w:spacing w:before="60" w:after="60"/>
        <w:ind w:left="720"/>
      </w:pPr>
      <w:r>
        <w:rPr>
          <w:rFonts w:ascii="Courier New" w:cs="Courier New" w:eastAsia="Courier New" w:hAnsi="Courier New"/>
          <w:color w:val="2E4057"/>
          <w:sz w:val="18"/>
          <w:szCs w:val="18"/>
        </w:rPr>
        <w:t xml:space="preserve">Allocation Tolerance Variance threshold in dollars before reconciliation halts (default 1)</w:t>
      </w:r>
    </w:p>
    <w:p>
      <w:pPr>
        <w:spacing w:after="160"/>
      </w:pPr>
      <w:r>
        <w:t xml:space="preserve"/>
      </w:r>
    </w:p>
    <w:p>
      <w:pPr>
        <w:spacing w:after="120"/>
      </w:pPr>
      <w:r>
        <w:rPr>
          <w:rFonts w:ascii="Arial" w:cs="Arial" w:eastAsia="Arial" w:hAnsi="Arial"/>
          <w:sz w:val="22"/>
          <w:szCs w:val="22"/>
        </w:rPr>
        <w:t xml:space="preserve">Default Allocation Tolerance = 1 is populated for all version/period combinations at build time. All other flags are set to 0 and populated by the META DATA GBL Version TI process.</w:t>
      </w:r>
    </w:p>
    <w:p>
      <w:pPr>
        <w:spacing w:after="160"/>
      </w:pPr>
      <w:r>
        <w:t xml:space="preserve"/>
      </w:r>
    </w:p>
    <w:p>
      <w:pPr>
        <w:pStyle w:val="Heading2"/>
      </w:pPr>
      <w:r>
        <w:rPr>
          <w:rFonts w:ascii="Arial" w:cs="Arial" w:eastAsia="Arial" w:hAnsi="Arial"/>
          <w:b/>
          <w:bCs/>
          <w:sz w:val="26"/>
          <w:szCs w:val="26"/>
        </w:rPr>
        <w:t xml:space="preserve">create_json_ti_meta_data_gbl_period.py</w:t>
      </w:r>
    </w:p>
    <w:p>
      <w:pPr>
        <w:spacing w:after="120"/>
      </w:pPr>
      <w:r>
        <w:rPr>
          <w:rFonts w:ascii="Arial" w:cs="Arial" w:eastAsia="Arial" w:hAnsi="Arial"/>
          <w:sz w:val="22"/>
          <w:szCs w:val="22"/>
        </w:rPr>
        <w:t xml:space="preserve">Generates json_files/ti_meta_data_gbl_period.json — the TI process that builds and maintains the GBL Period dimension.</w:t>
      </w:r>
    </w:p>
    <w:p>
      <w:pPr>
        <w:spacing w:after="160"/>
      </w:pPr>
      <w:r>
        <w:t xml:space="preserve"/>
      </w:r>
    </w:p>
    <w:p>
      <w:pPr>
        <w:spacing w:after="120"/>
      </w:pPr>
      <w:r>
        <w:rPr>
          <w:rFonts w:ascii="Arial" w:cs="Arial" w:eastAsia="Arial" w:hAnsi="Arial"/>
          <w:sz w:val="22"/>
          <w:szCs w:val="22"/>
        </w:rPr>
        <w:t xml:space="preserve">The generated TI process (META DATA GBL Period) builds the full Australian financial year period structure:</w:t>
      </w:r>
    </w:p>
    <w:p>
      <w:pPr>
        <w:spacing w:before="60" w:after="60"/>
        <w:ind w:left="720"/>
      </w:pPr>
      <w:r>
        <w:rPr>
          <w:rFonts w:ascii="Courier New" w:cs="Courier New" w:eastAsia="Courier New" w:hAnsi="Courier New"/>
          <w:color w:val="2E4057"/>
          <w:sz w:val="18"/>
          <w:szCs w:val="18"/>
        </w:rPr>
        <w:t xml:space="preserve">Leaf elements:  YYYY-00 (OB), YYYY-01 through YYYY-12, YYYY-13 (P13)</w:t>
      </w:r>
    </w:p>
    <w:p>
      <w:pPr>
        <w:spacing w:before="60" w:after="60"/>
        <w:ind w:left="720"/>
      </w:pPr>
      <w:r>
        <w:rPr>
          <w:rFonts w:ascii="Courier New" w:cs="Courier New" w:eastAsia="Courier New" w:hAnsi="Courier New"/>
          <w:color w:val="2E4057"/>
          <w:sz w:val="18"/>
          <w:szCs w:val="18"/>
        </w:rPr>
        <w:t xml:space="preserve">Hierarchies:    FY, QTR, YTD, YTG, LTD per year</w:t>
      </w:r>
    </w:p>
    <w:p>
      <w:pPr>
        <w:spacing w:before="60" w:after="60"/>
        <w:ind w:left="720"/>
      </w:pPr>
      <w:r>
        <w:rPr>
          <w:rFonts w:ascii="Courier New" w:cs="Courier New" w:eastAsia="Courier New" w:hAnsi="Courier New"/>
          <w:color w:val="2E4057"/>
          <w:sz w:val="18"/>
          <w:szCs w:val="18"/>
        </w:rPr>
        <w:t xml:space="preserve">Attributes:     Caption, Next/Prev Period, Days in Period, Period Start/End Serial, and more</w:t>
      </w:r>
    </w:p>
    <w:p>
      <w:pPr>
        <w:spacing w:after="160"/>
      </w:pPr>
      <w:r>
        <w:t xml:space="preserve"/>
      </w:r>
    </w:p>
    <w:p>
      <w:pPr>
        <w:spacing w:after="120"/>
      </w:pPr>
      <w:r>
        <w:rPr>
          <w:rFonts w:ascii="Arial" w:cs="Arial" w:eastAsia="Arial" w:hAnsi="Arial"/>
          <w:sz w:val="22"/>
          <w:szCs w:val="22"/>
        </w:rPr>
        <w:t xml:space="preserve">Parameters: pStartYear, pEndYear, pStartMonth (Apr for Australian FY), pPeriodDimName, pDeleteAndRebuild, pDebug</w:t>
      </w:r>
    </w:p>
    <w:p>
      <w:pPr>
        <w:spacing w:after="160"/>
      </w:pPr>
      <w:r>
        <w:t xml:space="preserve"/>
      </w:r>
    </w:p>
    <w:p>
      <w:pPr>
        <w:pStyle w:val="Heading2"/>
      </w:pPr>
      <w:r>
        <w:rPr>
          <w:rFonts w:ascii="Arial" w:cs="Arial" w:eastAsia="Arial" w:hAnsi="Arial"/>
          <w:b/>
          <w:bCs/>
          <w:sz w:val="26"/>
          <w:szCs w:val="26"/>
        </w:rPr>
        <w:t xml:space="preserve">create_ti_meta_data_gbl_period.py</w:t>
      </w:r>
    </w:p>
    <w:p>
      <w:pPr>
        <w:spacing w:after="120"/>
      </w:pPr>
      <w:r>
        <w:rPr>
          <w:rFonts w:ascii="Arial" w:cs="Arial" w:eastAsia="Arial" w:hAnsi="Arial"/>
          <w:sz w:val="22"/>
          <w:szCs w:val="22"/>
        </w:rPr>
        <w:t xml:space="preserve">Deploys and executes the META DATA GBL Period TI process. This script does both in one run — it is the only GBL TI that executes automatically.</w:t>
      </w:r>
    </w:p>
    <w:p>
      <w:pPr>
        <w:spacing w:after="160"/>
      </w:pPr>
      <w:r>
        <w:t xml:space="preserve"/>
      </w:r>
    </w:p>
    <w:p>
      <w:pPr>
        <w:spacing w:after="120"/>
      </w:pPr>
      <w:r>
        <w:rPr>
          <w:rFonts w:ascii="Arial" w:cs="Arial" w:eastAsia="Arial" w:hAnsi="Arial"/>
          <w:sz w:val="22"/>
          <w:szCs w:val="22"/>
        </w:rPr>
        <w:t xml:space="preserve">Execution parameters are hardcoded in the script:</w:t>
      </w:r>
    </w:p>
    <w:p>
      <w:pPr>
        <w:spacing w:before="60" w:after="60"/>
        <w:ind w:left="720"/>
      </w:pPr>
      <w:r>
        <w:rPr>
          <w:rFonts w:ascii="Courier New" w:cs="Courier New" w:eastAsia="Courier New" w:hAnsi="Courier New"/>
          <w:color w:val="2E4057"/>
          <w:sz w:val="18"/>
          <w:szCs w:val="18"/>
        </w:rPr>
        <w:t xml:space="preserve">pStartYear    = 2025</w:t>
      </w:r>
    </w:p>
    <w:p>
      <w:pPr>
        <w:spacing w:before="60" w:after="60"/>
        <w:ind w:left="720"/>
      </w:pPr>
      <w:r>
        <w:rPr>
          <w:rFonts w:ascii="Courier New" w:cs="Courier New" w:eastAsia="Courier New" w:hAnsi="Courier New"/>
          <w:color w:val="2E4057"/>
          <w:sz w:val="18"/>
          <w:szCs w:val="18"/>
        </w:rPr>
        <w:t xml:space="preserve">pEndYear      = 2028</w:t>
      </w:r>
    </w:p>
    <w:p>
      <w:pPr>
        <w:spacing w:before="60" w:after="60"/>
        <w:ind w:left="720"/>
      </w:pPr>
      <w:r>
        <w:rPr>
          <w:rFonts w:ascii="Courier New" w:cs="Courier New" w:eastAsia="Courier New" w:hAnsi="Courier New"/>
          <w:color w:val="2E4057"/>
          <w:sz w:val="18"/>
          <w:szCs w:val="18"/>
        </w:rPr>
        <w:t xml:space="preserve">pStartMonth   = Apr   (Australian healthcare financial year)</w:t>
      </w:r>
    </w:p>
    <w:p>
      <w:pPr>
        <w:spacing w:before="60" w:after="60"/>
        <w:ind w:left="720"/>
      </w:pPr>
      <w:r>
        <w:rPr>
          <w:rFonts w:ascii="Courier New" w:cs="Courier New" w:eastAsia="Courier New" w:hAnsi="Courier New"/>
          <w:color w:val="2E4057"/>
          <w:sz w:val="18"/>
          <w:szCs w:val="18"/>
        </w:rPr>
        <w:t xml:space="preserve">pDeleteAndRebuild = Y</w:t>
      </w:r>
    </w:p>
    <w:p>
      <w:pPr>
        <w:spacing w:after="160"/>
      </w:pPr>
      <w:r>
        <w:t xml:space="preserve"/>
      </w:r>
    </w:p>
    <w:p>
      <w:pPr>
        <w:pStyle w:val="Heading2"/>
      </w:pPr>
      <w:r>
        <w:rPr>
          <w:rFonts w:ascii="Arial" w:cs="Arial" w:eastAsia="Arial" w:hAnsi="Arial"/>
          <w:b/>
          <w:bCs/>
          <w:sz w:val="26"/>
          <w:szCs w:val="26"/>
        </w:rPr>
        <w:t xml:space="preserve">create_json_ti_meta_data_gbl_version.py</w:t>
      </w:r>
    </w:p>
    <w:p>
      <w:pPr>
        <w:spacing w:after="120"/>
      </w:pPr>
      <w:r>
        <w:rPr>
          <w:rFonts w:ascii="Arial" w:cs="Arial" w:eastAsia="Arial" w:hAnsi="Arial"/>
          <w:sz w:val="22"/>
          <w:szCs w:val="22"/>
        </w:rPr>
        <w:t xml:space="preserve">Generates json_files/ti_meta_data_gbl_version.json — the TI process that reads version settings from GBL Version attributes and populates GBL Assumptions period flags.</w:t>
      </w:r>
    </w:p>
    <w:p>
      <w:pPr>
        <w:spacing w:after="160"/>
      </w:pPr>
      <w:r>
        <w:t xml:space="preserve"/>
      </w:r>
    </w:p>
    <w:p>
      <w:pPr>
        <w:spacing w:after="120"/>
      </w:pPr>
      <w:r>
        <w:rPr>
          <w:rFonts w:ascii="Arial" w:cs="Arial" w:eastAsia="Arial" w:hAnsi="Arial"/>
          <w:sz w:val="22"/>
          <w:szCs w:val="22"/>
        </w:rPr>
        <w:t xml:space="preserve">Single parameter — pVersion only. All other settings are read from GBL Version attributes:</w:t>
      </w:r>
    </w:p>
    <w:p>
      <w:pPr>
        <w:spacing w:before="60" w:after="60"/>
        <w:ind w:left="720"/>
      </w:pPr>
      <w:r>
        <w:rPr>
          <w:rFonts w:ascii="Courier New" w:cs="Courier New" w:eastAsia="Courier New" w:hAnsi="Courier New"/>
          <w:color w:val="2E4057"/>
          <w:sz w:val="18"/>
          <w:szCs w:val="18"/>
        </w:rPr>
        <w:t xml:space="preserve">pVersion  — version to process e.g. Actual, Budget, Forecast</w:t>
      </w:r>
    </w:p>
    <w:p>
      <w:pPr>
        <w:spacing w:after="160"/>
      </w:pPr>
      <w:r>
        <w:t xml:space="preserve"/>
      </w:r>
    </w:p>
    <w:p>
      <w:pPr>
        <w:spacing w:after="120"/>
      </w:pPr>
      <w:r>
        <w:rPr>
          <w:rFonts w:ascii="Arial" w:cs="Arial" w:eastAsia="Arial" w:hAnsi="Arial"/>
          <w:sz w:val="22"/>
          <w:szCs w:val="22"/>
        </w:rPr>
        <w:t xml:space="preserve">The TI reads these attributes from GBL Version:</w:t>
      </w:r>
    </w:p>
    <w:p>
      <w:pPr>
        <w:spacing w:before="60" w:after="60"/>
        <w:ind w:left="720"/>
      </w:pPr>
      <w:r>
        <w:rPr>
          <w:rFonts w:ascii="Courier New" w:cs="Courier New" w:eastAsia="Courier New" w:hAnsi="Courier New"/>
          <w:color w:val="2E4057"/>
          <w:sz w:val="18"/>
          <w:szCs w:val="18"/>
        </w:rPr>
        <w:t xml:space="preserve">Is Snapshot             Y = abort immediately, version is locked</w:t>
      </w:r>
    </w:p>
    <w:p>
      <w:pPr>
        <w:spacing w:before="60" w:after="60"/>
        <w:ind w:left="720"/>
      </w:pPr>
      <w:r>
        <w:rPr>
          <w:rFonts w:ascii="Courier New" w:cs="Courier New" w:eastAsia="Courier New" w:hAnsi="Courier New"/>
          <w:color w:val="2E4057"/>
          <w:sz w:val="18"/>
          <w:szCs w:val="18"/>
        </w:rPr>
        <w:t xml:space="preserve">Start Period            First active period</w:t>
      </w:r>
    </w:p>
    <w:p>
      <w:pPr>
        <w:spacing w:before="60" w:after="60"/>
        <w:ind w:left="720"/>
      </w:pPr>
      <w:r>
        <w:rPr>
          <w:rFonts w:ascii="Courier New" w:cs="Courier New" w:eastAsia="Courier New" w:hAnsi="Courier New"/>
          <w:color w:val="2E4057"/>
          <w:sz w:val="18"/>
          <w:szCs w:val="18"/>
        </w:rPr>
        <w:t xml:space="preserve">End Period              Last active period (used when rolling months = 0)</w:t>
      </w:r>
    </w:p>
    <w:p>
      <w:pPr>
        <w:spacing w:before="60" w:after="60"/>
        <w:ind w:left="720"/>
      </w:pPr>
      <w:r>
        <w:rPr>
          <w:rFonts w:ascii="Courier New" w:cs="Courier New" w:eastAsia="Courier New" w:hAnsi="Courier New"/>
          <w:color w:val="2E4057"/>
          <w:sz w:val="18"/>
          <w:szCs w:val="18"/>
        </w:rPr>
        <w:t xml:space="preserve">Number of Rolling Months If &gt; 0, End Period is calculated automatically</w:t>
      </w:r>
    </w:p>
    <w:p>
      <w:pPr>
        <w:spacing w:after="160"/>
      </w:pPr>
      <w:r>
        <w:t xml:space="preserve"/>
      </w:r>
    </w:p>
    <w:p>
      <w:pPr>
        <w:spacing w:after="120"/>
      </w:pPr>
      <w:r>
        <w:rPr>
          <w:rFonts w:ascii="Arial" w:cs="Arial" w:eastAsia="Arial" w:hAnsi="Arial"/>
          <w:sz w:val="22"/>
          <w:szCs w:val="22"/>
        </w:rPr>
        <w:t xml:space="preserve">Rolling months logic: walks forward N periods from Start Period using the Next Period attribute on GBL Period. The calculated End Period is written back to the End Period attribute after calculation.</w:t>
      </w:r>
    </w:p>
    <w:p>
      <w:pPr>
        <w:spacing w:after="160"/>
      </w:pPr>
      <w:r>
        <w:t xml:space="preserve"/>
      </w:r>
    </w:p>
    <w:p>
      <w:pPr>
        <w:spacing w:after="120"/>
      </w:pPr>
      <w:r>
        <w:rPr>
          <w:rFonts w:ascii="Arial" w:cs="Arial" w:eastAsia="Arial" w:hAnsi="Arial"/>
          <w:sz w:val="22"/>
          <w:szCs w:val="22"/>
        </w:rPr>
        <w:t xml:space="preserve">Period loop uses ELLEV() = 0 to skip consolidations and @&gt;=, @&lt;=, @&lt; string comparison operators for period range checks.</w:t>
      </w:r>
    </w:p>
    <w:p>
      <w:pPr>
        <w:spacing w:after="160"/>
      </w:pPr>
      <w:r>
        <w:t xml:space="preserve"/>
      </w:r>
    </w:p>
    <w:p>
      <w:pPr>
        <w:spacing w:after="120"/>
      </w:pPr>
      <w:r>
        <w:rPr>
          <w:rFonts w:ascii="Arial" w:cs="Arial" w:eastAsia="Arial" w:hAnsi="Arial"/>
          <w:sz w:val="22"/>
          <w:szCs w:val="22"/>
        </w:rPr>
        <w:t xml:space="preserve">Admin workflow — before running the allocation:</w:t>
      </w:r>
    </w:p>
    <w:p>
      <w:pPr>
        <w:spacing w:before="60" w:after="60"/>
        <w:ind w:left="720"/>
      </w:pPr>
      <w:r>
        <w:rPr>
          <w:rFonts w:ascii="Courier New" w:cs="Courier New" w:eastAsia="Courier New" w:hAnsi="Courier New"/>
          <w:color w:val="2E4057"/>
          <w:sz w:val="18"/>
          <w:szCs w:val="18"/>
        </w:rPr>
        <w:t xml:space="preserve">1. Open }ElementAttributes_GBL Version in PAW</w:t>
      </w:r>
    </w:p>
    <w:p>
      <w:pPr>
        <w:spacing w:before="60" w:after="60"/>
        <w:ind w:left="720"/>
      </w:pPr>
      <w:r>
        <w:rPr>
          <w:rFonts w:ascii="Courier New" w:cs="Courier New" w:eastAsia="Courier New" w:hAnsi="Courier New"/>
          <w:color w:val="2E4057"/>
          <w:sz w:val="18"/>
          <w:szCs w:val="18"/>
        </w:rPr>
        <w:t xml:space="preserve">2. Edit Start Period, End Period / Rolling Months, Is Snapshot as needed</w:t>
      </w:r>
    </w:p>
    <w:p>
      <w:pPr>
        <w:spacing w:before="60" w:after="60"/>
        <w:ind w:left="720"/>
      </w:pPr>
      <w:r>
        <w:rPr>
          <w:rFonts w:ascii="Courier New" w:cs="Courier New" w:eastAsia="Courier New" w:hAnsi="Courier New"/>
          <w:color w:val="2E4057"/>
          <w:sz w:val="18"/>
          <w:szCs w:val="18"/>
        </w:rPr>
        <w:t xml:space="preserve">3. Run META DATA GBL Version with pVersion = the version to update</w:t>
      </w:r>
    </w:p>
    <w:p>
      <w:pPr>
        <w:spacing w:before="60" w:after="60"/>
        <w:ind w:left="720"/>
      </w:pPr>
      <w:r>
        <w:rPr>
          <w:rFonts w:ascii="Courier New" w:cs="Courier New" w:eastAsia="Courier New" w:hAnsi="Courier New"/>
          <w:color w:val="2E4057"/>
          <w:sz w:val="18"/>
          <w:szCs w:val="18"/>
        </w:rPr>
        <w:t xml:space="preserve">4. Verify GBL Assumptions flags in PAW</w:t>
      </w:r>
    </w:p>
    <w:p>
      <w:pPr>
        <w:spacing w:after="160"/>
      </w:pPr>
      <w:r>
        <w:t xml:space="preserve"/>
      </w:r>
    </w:p>
    <w:p>
      <w:pPr>
        <w:spacing w:after="120"/>
      </w:pPr>
      <w:r>
        <w:rPr>
          <w:rFonts w:ascii="Arial" w:cs="Arial" w:eastAsia="Arial" w:hAnsi="Arial"/>
          <w:sz w:val="22"/>
          <w:szCs w:val="22"/>
        </w:rPr>
        <w:t xml:space="preserve">Actual monthly run example:</w:t>
      </w:r>
    </w:p>
    <w:p>
      <w:pPr>
        <w:spacing w:before="60" w:after="60"/>
        <w:ind w:left="720"/>
      </w:pPr>
      <w:r>
        <w:rPr>
          <w:rFonts w:ascii="Courier New" w:cs="Courier New" w:eastAsia="Courier New" w:hAnsi="Courier New"/>
          <w:color w:val="2E4057"/>
          <w:sz w:val="18"/>
          <w:szCs w:val="18"/>
        </w:rPr>
        <w:t xml:space="preserve">Edit End Period attribute = 2026-02 (latest closed month)</w:t>
      </w:r>
    </w:p>
    <w:p>
      <w:pPr>
        <w:spacing w:before="60" w:after="60"/>
        <w:ind w:left="720"/>
      </w:pPr>
      <w:r>
        <w:rPr>
          <w:rFonts w:ascii="Courier New" w:cs="Courier New" w:eastAsia="Courier New" w:hAnsi="Courier New"/>
          <w:color w:val="2E4057"/>
          <w:sz w:val="18"/>
          <w:szCs w:val="18"/>
        </w:rPr>
        <w:t xml:space="preserve">Run TI with pVersion = Actual</w:t>
      </w:r>
    </w:p>
    <w:p>
      <w:pPr>
        <w:spacing w:after="160"/>
      </w:pPr>
      <w:r>
        <w:t xml:space="preserve"/>
      </w:r>
    </w:p>
    <w:p>
      <w:pPr>
        <w:spacing w:after="120"/>
      </w:pPr>
      <w:r>
        <w:rPr>
          <w:rFonts w:ascii="Arial" w:cs="Arial" w:eastAsia="Arial" w:hAnsi="Arial"/>
          <w:sz w:val="22"/>
          <w:szCs w:val="22"/>
        </w:rPr>
        <w:t xml:space="preserve">Forecast monthly roll example:</w:t>
      </w:r>
    </w:p>
    <w:p>
      <w:pPr>
        <w:spacing w:before="60" w:after="60"/>
        <w:ind w:left="720"/>
      </w:pPr>
      <w:r>
        <w:rPr>
          <w:rFonts w:ascii="Courier New" w:cs="Courier New" w:eastAsia="Courier New" w:hAnsi="Courier New"/>
          <w:color w:val="2E4057"/>
          <w:sz w:val="18"/>
          <w:szCs w:val="18"/>
        </w:rPr>
        <w:t xml:space="preserve">Edit Start Period attribute = 2026-03 (new start month)</w:t>
      </w:r>
    </w:p>
    <w:p>
      <w:pPr>
        <w:spacing w:before="60" w:after="60"/>
        <w:ind w:left="720"/>
      </w:pPr>
      <w:r>
        <w:rPr>
          <w:rFonts w:ascii="Courier New" w:cs="Courier New" w:eastAsia="Courier New" w:hAnsi="Courier New"/>
          <w:color w:val="2E4057"/>
          <w:sz w:val="18"/>
          <w:szCs w:val="18"/>
        </w:rPr>
        <w:t xml:space="preserve">Number of Rolling Months = 18 (stays fixed)</w:t>
      </w:r>
    </w:p>
    <w:p>
      <w:pPr>
        <w:spacing w:before="60" w:after="60"/>
        <w:ind w:left="720"/>
      </w:pPr>
      <w:r>
        <w:rPr>
          <w:rFonts w:ascii="Courier New" w:cs="Courier New" w:eastAsia="Courier New" w:hAnsi="Courier New"/>
          <w:color w:val="2E4057"/>
          <w:sz w:val="18"/>
          <w:szCs w:val="18"/>
        </w:rPr>
        <w:t xml:space="preserve">Run TI with pVersion = Forecast — End Period auto-calculated as 2027-08</w:t>
      </w:r>
    </w:p>
    <w:p>
      <w:pPr>
        <w:spacing w:after="160"/>
      </w:pPr>
      <w:r>
        <w:t xml:space="preserve"/>
      </w:r>
    </w:p>
    <w:p>
      <w:pPr>
        <w:pStyle w:val="Heading2"/>
      </w:pPr>
      <w:r>
        <w:rPr>
          <w:rFonts w:ascii="Arial" w:cs="Arial" w:eastAsia="Arial" w:hAnsi="Arial"/>
          <w:b/>
          <w:bCs/>
          <w:sz w:val="26"/>
          <w:szCs w:val="26"/>
        </w:rPr>
        <w:t xml:space="preserve">create_ti_meta_data_gbl_version.py</w:t>
      </w:r>
    </w:p>
    <w:p>
      <w:pPr>
        <w:spacing w:after="120"/>
      </w:pPr>
      <w:r>
        <w:rPr>
          <w:rFonts w:ascii="Arial" w:cs="Arial" w:eastAsia="Arial" w:hAnsi="Arial"/>
          <w:sz w:val="22"/>
          <w:szCs w:val="22"/>
        </w:rPr>
        <w:t xml:space="preserve">Deploys the META DATA GBL Version TI process to TM1. This script deploys only — it does NOT execute the process.</w:t>
      </w:r>
    </w:p>
    <w:p>
      <w:pPr>
        <w:spacing w:after="160"/>
      </w:pPr>
      <w:r>
        <w:t xml:space="preserve"/>
      </w:r>
    </w:p>
    <w:p>
      <w:pPr>
        <w:spacing w:after="120"/>
      </w:pPr>
      <w:r>
        <w:rPr>
          <w:rFonts w:ascii="Arial" w:cs="Arial" w:eastAsia="Arial" w:hAnsi="Arial"/>
          <w:sz w:val="22"/>
          <w:szCs w:val="22"/>
        </w:rPr>
        <w:t xml:space="preserve">Execution is done manually from PAW with a single parameter — pVersion. All other settings are read from GBL Version attributes. Edit the attributes first in PAW, then run the TI.</w:t>
      </w:r>
    </w:p>
    <w:p>
      <w:pPr>
        <w:spacing w:after="160"/>
      </w:pPr>
      <w:r>
        <w:t xml:space="preserve"/>
      </w:r>
    </w:p>
    <w:p>
      <w:pPr>
        <w:spacing w:before="60" w:after="60"/>
        <w:ind w:left="720"/>
      </w:pPr>
      <w:r>
        <w:rPr>
          <w:rFonts w:ascii="Courier New" w:cs="Courier New" w:eastAsia="Courier New" w:hAnsi="Courier New"/>
          <w:color w:val="2E4057"/>
          <w:sz w:val="18"/>
          <w:szCs w:val="18"/>
        </w:rPr>
        <w:t xml:space="preserve">pVersion = Actual    → reads Start/End Period from attributes, updates flags</w:t>
      </w:r>
    </w:p>
    <w:p>
      <w:pPr>
        <w:spacing w:before="60" w:after="60"/>
        <w:ind w:left="720"/>
      </w:pPr>
      <w:r>
        <w:rPr>
          <w:rFonts w:ascii="Courier New" w:cs="Courier New" w:eastAsia="Courier New" w:hAnsi="Courier New"/>
          <w:color w:val="2E4057"/>
          <w:sz w:val="18"/>
          <w:szCs w:val="18"/>
        </w:rPr>
        <w:t xml:space="preserve">pVersion = Forecast  → reads Start Period + Rolling Months, calculates End Period</w:t>
      </w:r>
    </w:p>
    <w:p>
      <w:pPr>
        <w:spacing w:before="60" w:after="60"/>
        <w:ind w:left="720"/>
      </w:pPr>
      <w:r>
        <w:rPr>
          <w:rFonts w:ascii="Courier New" w:cs="Courier New" w:eastAsia="Courier New" w:hAnsi="Courier New"/>
          <w:color w:val="2E4057"/>
          <w:sz w:val="18"/>
          <w:szCs w:val="18"/>
        </w:rPr>
        <w:t xml:space="preserve">pVersion = Budget    → reads Start/End Period from attributes, updates flags</w:t>
      </w:r>
    </w:p>
    <w:p>
      <w:pPr>
        <w:spacing w:after="160"/>
      </w:pPr>
      <w:r>
        <w:t xml:space="preserve"/>
      </w:r>
    </w:p>
    <w:p>
      <w:r>
        <w:br w:type="page"/>
      </w:r>
    </w:p>
    <w:p>
      <w:pPr>
        <w:pStyle w:val="Heading1"/>
      </w:pPr>
      <w:r>
        <w:rPr>
          <w:rFonts w:ascii="Arial" w:cs="Arial" w:eastAsia="Arial" w:hAnsi="Arial"/>
          <w:b/>
          <w:bCs/>
          <w:sz w:val="32"/>
          <w:szCs w:val="32"/>
        </w:rPr>
        <w:t xml:space="preserve">5. CST Scripts</w:t>
      </w:r>
    </w:p>
    <w:p>
      <w:pPr>
        <w:pStyle w:val="Heading2"/>
      </w:pPr>
      <w:r>
        <w:rPr>
          <w:rFonts w:ascii="Arial" w:cs="Arial" w:eastAsia="Arial" w:hAnsi="Arial"/>
          <w:b/>
          <w:bCs/>
          <w:sz w:val="26"/>
          <w:szCs w:val="26"/>
        </w:rPr>
        <w:t xml:space="preserve">create_cst_dimensions.py</w:t>
      </w:r>
    </w:p>
    <w:p>
      <w:pPr>
        <w:spacing w:after="120"/>
      </w:pPr>
      <w:r>
        <w:rPr>
          <w:rFonts w:ascii="Arial" w:cs="Arial" w:eastAsia="Arial" w:hAnsi="Arial"/>
          <w:sz w:val="22"/>
          <w:szCs w:val="22"/>
        </w:rPr>
        <w:t xml:space="preserve">Builds all CST module dimensions using TM1py. GBL Department is now built by create_gbl_department.py as part of the GBL infrastructure. Uses the build_coded_dim() helper for dimensions with codes as elements.</w:t>
      </w:r>
    </w:p>
    <w:p>
      <w:pPr>
        <w:spacing w:after="160"/>
      </w:pPr>
      <w:r>
        <w:t xml:space="preserve"/>
      </w:r>
    </w:p>
    <w:p>
      <w:pPr>
        <w:spacing w:after="120"/>
      </w:pPr>
      <w:r>
        <w:rPr>
          <w:rFonts w:ascii="Arial" w:cs="Arial" w:eastAsia="Arial" w:hAnsi="Arial"/>
          <w:sz w:val="22"/>
          <w:szCs w:val="22"/>
        </w:rPr>
        <w:t xml:space="preserve">Coding scheme:</w:t>
      </w:r>
    </w:p>
    <w:p>
      <w:pPr>
        <w:spacing w:before="60" w:after="60"/>
        <w:ind w:left="720"/>
      </w:pPr>
      <w:r>
        <w:rPr>
          <w:rFonts w:ascii="Courier New" w:cs="Courier New" w:eastAsia="Courier New" w:hAnsi="Courier New"/>
          <w:color w:val="2E4057"/>
          <w:sz w:val="18"/>
          <w:szCs w:val="18"/>
        </w:rPr>
        <w:t xml:space="preserve">GBL Department           D001–D017   Code &amp; Desc + Desc aliases</w:t>
      </w:r>
    </w:p>
    <w:p>
      <w:pPr>
        <w:spacing w:before="60" w:after="60"/>
        <w:ind w:left="720"/>
      </w:pPr>
      <w:r>
        <w:rPr>
          <w:rFonts w:ascii="Courier New" w:cs="Courier New" w:eastAsia="Courier New" w:hAnsi="Courier New"/>
          <w:color w:val="2E4057"/>
          <w:sz w:val="18"/>
          <w:szCs w:val="18"/>
        </w:rPr>
        <w:t xml:space="preserve">CST Cost Pool            CP01–CP09   Code &amp; Desc + Desc aliases</w:t>
      </w:r>
    </w:p>
    <w:p>
      <w:pPr>
        <w:spacing w:before="60" w:after="60"/>
        <w:ind w:left="720"/>
      </w:pPr>
      <w:r>
        <w:rPr>
          <w:rFonts w:ascii="Courier New" w:cs="Courier New" w:eastAsia="Courier New" w:hAnsi="Courier New"/>
          <w:color w:val="2E4057"/>
          <w:sz w:val="18"/>
          <w:szCs w:val="18"/>
        </w:rPr>
        <w:t xml:space="preserve">CST Activity             A01–A11     Code &amp; Desc + Desc aliases</w:t>
      </w:r>
    </w:p>
    <w:p>
      <w:pPr>
        <w:spacing w:before="60" w:after="60"/>
        <w:ind w:left="720"/>
      </w:pPr>
      <w:r>
        <w:rPr>
          <w:rFonts w:ascii="Courier New" w:cs="Courier New" w:eastAsia="Courier New" w:hAnsi="Courier New"/>
          <w:color w:val="2E4057"/>
          <w:sz w:val="18"/>
          <w:szCs w:val="18"/>
        </w:rPr>
        <w:t xml:space="preserve">CST Service Line         SL01–SL08   Code &amp; Desc + Desc aliases</w:t>
      </w:r>
    </w:p>
    <w:p>
      <w:pPr>
        <w:spacing w:before="60" w:after="60"/>
        <w:ind w:left="720"/>
      </w:pPr>
      <w:r>
        <w:rPr>
          <w:rFonts w:ascii="Courier New" w:cs="Courier New" w:eastAsia="Courier New" w:hAnsi="Courier New"/>
          <w:color w:val="2E4057"/>
          <w:sz w:val="18"/>
          <w:szCs w:val="18"/>
        </w:rPr>
        <w:t xml:space="preserve">CST Reconciliation Check RC01–RC04   Code &amp; Desc + Desc aliases</w:t>
      </w:r>
    </w:p>
    <w:p>
      <w:pPr>
        <w:spacing w:after="160"/>
      </w:pPr>
      <w:r>
        <w:t xml:space="preserve"/>
      </w:r>
    </w:p>
    <w:p>
      <w:pPr>
        <w:spacing w:after="120"/>
      </w:pPr>
      <w:r>
        <w:rPr>
          <w:rFonts w:ascii="Arial" w:cs="Arial" w:eastAsia="Arial" w:hAnsi="Arial"/>
          <w:sz w:val="22"/>
          <w:szCs w:val="22"/>
        </w:rPr>
        <w:t xml:space="preserve">Also builds 8 flat measure dimensions (Desc alias only) — one per CST cube.</w:t>
      </w:r>
    </w:p>
    <w:p>
      <w:pPr>
        <w:spacing w:after="160"/>
      </w:pPr>
      <w:r>
        <w:t xml:space="preserve"/>
      </w:r>
    </w:p>
    <w:p>
      <w:pPr>
        <w:pStyle w:val="Heading2"/>
      </w:pPr>
      <w:r>
        <w:rPr>
          <w:rFonts w:ascii="Arial" w:cs="Arial" w:eastAsia="Arial" w:hAnsi="Arial"/>
          <w:b/>
          <w:bCs/>
          <w:sz w:val="26"/>
          <w:szCs w:val="26"/>
        </w:rPr>
        <w:t xml:space="preserve">create_cst_cubes.py</w:t>
      </w:r>
    </w:p>
    <w:p>
      <w:pPr>
        <w:spacing w:after="120"/>
      </w:pPr>
      <w:r>
        <w:rPr>
          <w:rFonts w:ascii="Arial" w:cs="Arial" w:eastAsia="Arial" w:hAnsi="Arial"/>
          <w:sz w:val="22"/>
          <w:szCs w:val="22"/>
        </w:rPr>
        <w:t xml:space="preserve">Builds all 8 CST cubes using TM1py. Skips any cube that already exists. Cubes are not deleted or overwritten by this script — run cleanup_cst_model.py first if a fresh rebuild is needed.</w:t>
      </w:r>
    </w:p>
    <w:p>
      <w:pPr>
        <w:spacing w:after="160"/>
      </w:pPr>
      <w:r>
        <w:t xml:space="preserve"/>
      </w:r>
    </w:p>
    <w:p>
      <w:pPr>
        <w:spacing w:after="120"/>
      </w:pPr>
      <w:r>
        <w:rPr>
          <w:rFonts w:ascii="Arial" w:cs="Arial" w:eastAsia="Arial" w:hAnsi="Arial"/>
          <w:sz w:val="22"/>
          <w:szCs w:val="22"/>
        </w:rPr>
        <w:t xml:space="preserve">Cubes created:</w:t>
      </w:r>
    </w:p>
    <w:p>
      <w:pPr>
        <w:spacing w:before="60" w:after="60"/>
        <w:ind w:left="720"/>
      </w:pPr>
      <w:r>
        <w:rPr>
          <w:rFonts w:ascii="Courier New" w:cs="Courier New" w:eastAsia="Courier New" w:hAnsi="Courier New"/>
          <w:color w:val="2E4057"/>
          <w:sz w:val="18"/>
          <w:szCs w:val="18"/>
        </w:rPr>
        <w:t xml:space="preserve">CST GL Input                — GBL Account x GBL Department x GBL Period x GBL Version x Measure</w:t>
      </w:r>
    </w:p>
    <w:p>
      <w:pPr>
        <w:spacing w:before="60" w:after="60"/>
        <w:ind w:left="720"/>
      </w:pPr>
      <w:r>
        <w:rPr>
          <w:rFonts w:ascii="Courier New" w:cs="Courier New" w:eastAsia="Courier New" w:hAnsi="Courier New"/>
          <w:color w:val="2E4057"/>
          <w:sz w:val="18"/>
          <w:szCs w:val="18"/>
        </w:rPr>
        <w:t xml:space="preserve">CST Pool Driver             — CST Cost Pool x CST Activity x GBL Period x GBL Version x Measure</w:t>
      </w:r>
    </w:p>
    <w:p>
      <w:pPr>
        <w:spacing w:before="60" w:after="60"/>
        <w:ind w:left="720"/>
      </w:pPr>
      <w:r>
        <w:rPr>
          <w:rFonts w:ascii="Courier New" w:cs="Courier New" w:eastAsia="Courier New" w:hAnsi="Courier New"/>
          <w:color w:val="2E4057"/>
          <w:sz w:val="18"/>
          <w:szCs w:val="18"/>
        </w:rPr>
        <w:t xml:space="preserve">CST Activity Driver         — CST Activity x CST Service Line x GBL Period x GBL Version x Measure</w:t>
      </w:r>
    </w:p>
    <w:p>
      <w:pPr>
        <w:spacing w:before="60" w:after="60"/>
        <w:ind w:left="720"/>
      </w:pPr>
      <w:r>
        <w:rPr>
          <w:rFonts w:ascii="Courier New" w:cs="Courier New" w:eastAsia="Courier New" w:hAnsi="Courier New"/>
          <w:color w:val="2E4057"/>
          <w:sz w:val="18"/>
          <w:szCs w:val="18"/>
        </w:rPr>
        <w:t xml:space="preserve">CST Cost Pool Allocation    — CST Cost Pool x GBL Account x GBL Period x GBL Version x Measure</w:t>
      </w:r>
    </w:p>
    <w:p>
      <w:pPr>
        <w:spacing w:before="60" w:after="60"/>
        <w:ind w:left="720"/>
      </w:pPr>
      <w:r>
        <w:rPr>
          <w:rFonts w:ascii="Courier New" w:cs="Courier New" w:eastAsia="Courier New" w:hAnsi="Courier New"/>
          <w:color w:val="2E4057"/>
          <w:sz w:val="18"/>
          <w:szCs w:val="18"/>
        </w:rPr>
        <w:t xml:space="preserve">CST Activity Allocation     — CST Activity x CST Cost Pool x GBL Period x GBL Version x Measure</w:t>
      </w:r>
    </w:p>
    <w:p>
      <w:pPr>
        <w:spacing w:before="60" w:after="60"/>
        <w:ind w:left="720"/>
      </w:pPr>
      <w:r>
        <w:rPr>
          <w:rFonts w:ascii="Courier New" w:cs="Courier New" w:eastAsia="Courier New" w:hAnsi="Courier New"/>
          <w:color w:val="2E4057"/>
          <w:sz w:val="18"/>
          <w:szCs w:val="18"/>
        </w:rPr>
        <w:t xml:space="preserve">CST Service Line Cost       — CST Service Line x CST Activity x GBL Period x GBL Version x Measure</w:t>
      </w:r>
    </w:p>
    <w:p>
      <w:pPr>
        <w:spacing w:before="60" w:after="60"/>
        <w:ind w:left="720"/>
      </w:pPr>
      <w:r>
        <w:rPr>
          <w:rFonts w:ascii="Courier New" w:cs="Courier New" w:eastAsia="Courier New" w:hAnsi="Courier New"/>
          <w:color w:val="2E4057"/>
          <w:sz w:val="18"/>
          <w:szCs w:val="18"/>
        </w:rPr>
        <w:t xml:space="preserve">CST Profit and Loss Report  — GBL Account x CST Service Line x GBL Period x GBL Version x CST Allocation Stage x Measure</w:t>
      </w:r>
    </w:p>
    <w:p>
      <w:pPr>
        <w:spacing w:before="60" w:after="60"/>
        <w:ind w:left="720"/>
      </w:pPr>
      <w:r>
        <w:rPr>
          <w:rFonts w:ascii="Courier New" w:cs="Courier New" w:eastAsia="Courier New" w:hAnsi="Courier New"/>
          <w:color w:val="2E4057"/>
          <w:sz w:val="18"/>
          <w:szCs w:val="18"/>
        </w:rPr>
        <w:t xml:space="preserve">CST Allocation Reconciliation — CST Reconciliation Check x GBL Period x GBL Version x Measure</w:t>
      </w:r>
    </w:p>
    <w:p>
      <w:pPr>
        <w:spacing w:after="160"/>
      </w:pPr>
      <w:r>
        <w:t xml:space="preserve"/>
      </w:r>
    </w:p>
    <w:p>
      <w:pPr>
        <w:pStyle w:val="Heading2"/>
      </w:pPr>
      <w:r>
        <w:rPr>
          <w:rFonts w:ascii="Arial" w:cs="Arial" w:eastAsia="Arial" w:hAnsi="Arial"/>
          <w:b/>
          <w:bCs/>
          <w:sz w:val="26"/>
          <w:szCs w:val="26"/>
        </w:rPr>
        <w:t xml:space="preserve">create_cst_allocation_stage.py</w:t>
      </w:r>
    </w:p>
    <w:p>
      <w:pPr>
        <w:spacing w:after="120"/>
      </w:pPr>
      <w:r>
        <w:rPr>
          <w:rFonts w:ascii="Arial" w:cs="Arial" w:eastAsia="Arial" w:hAnsi="Arial"/>
          <w:sz w:val="22"/>
          <w:szCs w:val="22"/>
        </w:rPr>
        <w:t xml:space="preserve">Builds the CST Allocation Stage dimension — a two-element flat dimension used on the CST Profit and Loss Report cube to compare costs before and after ABC allocation.</w:t>
      </w:r>
    </w:p>
    <w:p>
      <w:pPr>
        <w:spacing w:after="160"/>
      </w:pPr>
      <w:r>
        <w:t xml:space="preserve"/>
      </w:r>
    </w:p>
    <w:p>
      <w:pPr>
        <w:spacing w:after="120"/>
      </w:pPr>
      <w:r>
        <w:rPr>
          <w:rFonts w:ascii="Arial" w:cs="Arial" w:eastAsia="Arial" w:hAnsi="Arial"/>
          <w:sz w:val="22"/>
          <w:szCs w:val="22"/>
        </w:rPr>
        <w:t xml:space="preserve">Elements:</w:t>
      </w:r>
    </w:p>
    <w:p>
      <w:pPr>
        <w:spacing w:before="60" w:after="60"/>
        <w:ind w:left="720"/>
      </w:pPr>
      <w:r>
        <w:rPr>
          <w:rFonts w:ascii="Courier New" w:cs="Courier New" w:eastAsia="Courier New" w:hAnsi="Courier New"/>
          <w:color w:val="2E4057"/>
          <w:sz w:val="18"/>
          <w:szCs w:val="18"/>
        </w:rPr>
        <w:t xml:space="preserve">Pre Allocation   — costs using traditional allocation method</w:t>
      </w:r>
    </w:p>
    <w:p>
      <w:pPr>
        <w:spacing w:before="60" w:after="60"/>
        <w:ind w:left="720"/>
      </w:pPr>
      <w:r>
        <w:rPr>
          <w:rFonts w:ascii="Courier New" w:cs="Courier New" w:eastAsia="Courier New" w:hAnsi="Courier New"/>
          <w:color w:val="2E4057"/>
          <w:sz w:val="18"/>
          <w:szCs w:val="18"/>
        </w:rPr>
        <w:t xml:space="preserve">Post Allocation  — costs after ABC allocation has been applied</w:t>
      </w:r>
    </w:p>
    <w:p>
      <w:pPr>
        <w:spacing w:after="160"/>
      </w:pPr>
      <w:r>
        <w:t xml:space="preserve"/>
      </w:r>
    </w:p>
    <w:p>
      <w:pPr>
        <w:spacing w:after="120"/>
      </w:pPr>
      <w:r>
        <w:rPr>
          <w:rFonts w:ascii="Arial" w:cs="Arial" w:eastAsia="Arial" w:hAnsi="Arial"/>
          <w:sz w:val="22"/>
          <w:szCs w:val="22"/>
        </w:rPr>
        <w:t xml:space="preserve">This dimension replaces the previous Before ABC / After ABC elements on GBL Version. By making it a separate dimension it can be sliced independently of version — for example Budget x Pre Allocation vs Budget x Post Allocation is now a natural comparison.</w:t>
      </w:r>
    </w:p>
    <w:p>
      <w:pPr>
        <w:spacing w:after="160"/>
      </w:pPr>
      <w:r>
        <w:t xml:space="preserve"/>
      </w:r>
    </w:p>
    <w:p>
      <w:pPr>
        <w:pStyle w:val="Heading2"/>
      </w:pPr>
      <w:r>
        <w:rPr>
          <w:rFonts w:ascii="Arial" w:cs="Arial" w:eastAsia="Arial" w:hAnsi="Arial"/>
          <w:b/>
          <w:bCs/>
          <w:sz w:val="26"/>
          <w:szCs w:val="26"/>
        </w:rPr>
        <w:t xml:space="preserve">create_cst_allocation_config.py</w:t>
      </w:r>
    </w:p>
    <w:p>
      <w:pPr>
        <w:spacing w:after="120"/>
      </w:pPr>
      <w:r>
        <w:rPr>
          <w:rFonts w:ascii="Arial" w:cs="Arial" w:eastAsia="Arial" w:hAnsi="Arial"/>
          <w:sz w:val="22"/>
          <w:szCs w:val="22"/>
        </w:rPr>
        <w:t xml:space="preserve">Builds the CST Allocation Config cube and its supporting dimensions. This is the version-aware model settings cube — the configuration layer that controls how the ABC allocation runs.</w:t>
      </w:r>
    </w:p>
    <w:p>
      <w:pPr>
        <w:spacing w:after="160"/>
      </w:pPr>
      <w:r>
        <w:t xml:space="preserve"/>
      </w:r>
    </w:p>
    <w:p>
      <w:pPr>
        <w:spacing w:after="120"/>
      </w:pPr>
      <w:r>
        <w:rPr>
          <w:rFonts w:ascii="Arial" w:cs="Arial" w:eastAsia="Arial" w:hAnsi="Arial"/>
          <w:sz w:val="22"/>
          <w:szCs w:val="22"/>
        </w:rPr>
        <w:t xml:space="preserve">Objects created:</w:t>
      </w:r>
    </w:p>
    <w:p>
      <w:pPr>
        <w:spacing w:before="60" w:after="60"/>
        <w:ind w:left="720"/>
      </w:pPr>
      <w:r>
        <w:rPr>
          <w:rFonts w:ascii="Courier New" w:cs="Courier New" w:eastAsia="Courier New" w:hAnsi="Courier New"/>
          <w:color w:val="2E4057"/>
          <w:sz w:val="18"/>
          <w:szCs w:val="18"/>
        </w:rPr>
        <w:t xml:space="preserve">Dimension: CST Config Item              — all configurable elements (accounts, pools, activities, service lines)</w:t>
      </w:r>
    </w:p>
    <w:p>
      <w:pPr>
        <w:spacing w:before="60" w:after="60"/>
        <w:ind w:left="720"/>
      </w:pPr>
      <w:r>
        <w:rPr>
          <w:rFonts w:ascii="Courier New" w:cs="Courier New" w:eastAsia="Courier New" w:hAnsi="Courier New"/>
          <w:color w:val="2E4057"/>
          <w:sz w:val="18"/>
          <w:szCs w:val="18"/>
        </w:rPr>
        <w:t xml:space="preserve">Dimension: CST Allocation Config Measure — 5 string measures</w:t>
      </w:r>
    </w:p>
    <w:p>
      <w:pPr>
        <w:spacing w:before="60" w:after="60"/>
        <w:ind w:left="720"/>
      </w:pPr>
      <w:r>
        <w:rPr>
          <w:rFonts w:ascii="Courier New" w:cs="Courier New" w:eastAsia="Courier New" w:hAnsi="Courier New"/>
          <w:color w:val="2E4057"/>
          <w:sz w:val="18"/>
          <w:szCs w:val="18"/>
        </w:rPr>
        <w:t xml:space="preserve">Cube:      CST Allocation Config         — CST Config Item x GBL Version x Measure</w:t>
      </w:r>
    </w:p>
    <w:p>
      <w:pPr>
        <w:spacing w:after="160"/>
      </w:pPr>
      <w:r>
        <w:t xml:space="preserve"/>
      </w:r>
    </w:p>
    <w:p>
      <w:pPr>
        <w:spacing w:after="120"/>
      </w:pPr>
      <w:r>
        <w:rPr>
          <w:rFonts w:ascii="Arial" w:cs="Arial" w:eastAsia="Arial" w:hAnsi="Arial"/>
          <w:sz w:val="22"/>
          <w:szCs w:val="22"/>
        </w:rPr>
        <w:t xml:space="preserve">Measure elements (all String type):</w:t>
      </w:r>
    </w:p>
    <w:p>
      <w:pPr>
        <w:spacing w:before="60" w:after="60"/>
        <w:ind w:left="720"/>
      </w:pPr>
      <w:r>
        <w:rPr>
          <w:rFonts w:ascii="Courier New" w:cs="Courier New" w:eastAsia="Courier New" w:hAnsi="Courier New"/>
          <w:color w:val="2E4057"/>
          <w:sz w:val="18"/>
          <w:szCs w:val="18"/>
        </w:rPr>
        <w:t xml:space="preserve">Is Allocated    Y/N — is this GL account allocated through ABC</w:t>
      </w:r>
    </w:p>
    <w:p>
      <w:pPr>
        <w:spacing w:before="60" w:after="60"/>
        <w:ind w:left="720"/>
      </w:pPr>
      <w:r>
        <w:rPr>
          <w:rFonts w:ascii="Courier New" w:cs="Courier New" w:eastAsia="Courier New" w:hAnsi="Courier New"/>
          <w:color w:val="2E4057"/>
          <w:sz w:val="18"/>
          <w:szCs w:val="18"/>
        </w:rPr>
        <w:t xml:space="preserve">Pool Mapping    CST Cost Pool code this account maps to e.g. CP01</w:t>
      </w:r>
    </w:p>
    <w:p>
      <w:pPr>
        <w:spacing w:before="60" w:after="60"/>
        <w:ind w:left="720"/>
      </w:pPr>
      <w:r>
        <w:rPr>
          <w:rFonts w:ascii="Courier New" w:cs="Courier New" w:eastAsia="Courier New" w:hAnsi="Courier New"/>
          <w:color w:val="2E4057"/>
          <w:sz w:val="18"/>
          <w:szCs w:val="18"/>
        </w:rPr>
        <w:t xml:space="preserve">Primary Driver  Driver used to allocate this cost pool to activities</w:t>
      </w:r>
    </w:p>
    <w:p>
      <w:pPr>
        <w:spacing w:before="60" w:after="60"/>
        <w:ind w:left="720"/>
      </w:pPr>
      <w:r>
        <w:rPr>
          <w:rFonts w:ascii="Courier New" w:cs="Courier New" w:eastAsia="Courier New" w:hAnsi="Courier New"/>
          <w:color w:val="2E4057"/>
          <w:sz w:val="18"/>
          <w:szCs w:val="18"/>
        </w:rPr>
        <w:t xml:space="preserve">Cost Driver     Driver used to allocate this activity to service lines</w:t>
      </w:r>
    </w:p>
    <w:p>
      <w:pPr>
        <w:spacing w:before="60" w:after="60"/>
        <w:ind w:left="720"/>
      </w:pPr>
      <w:r>
        <w:rPr>
          <w:rFonts w:ascii="Courier New" w:cs="Courier New" w:eastAsia="Courier New" w:hAnsi="Courier New"/>
          <w:color w:val="2E4057"/>
          <w:sz w:val="18"/>
          <w:szCs w:val="18"/>
        </w:rPr>
        <w:t xml:space="preserve">Revenue Type    Funding type for this service line</w:t>
      </w:r>
    </w:p>
    <w:p>
      <w:pPr>
        <w:spacing w:after="160"/>
      </w:pPr>
      <w:r>
        <w:t xml:space="preserve"/>
      </w:r>
    </w:p>
    <w:p>
      <w:pPr>
        <w:spacing w:after="120"/>
      </w:pPr>
      <w:r>
        <w:rPr>
          <w:rFonts w:ascii="Arial" w:cs="Arial" w:eastAsia="Arial" w:hAnsi="Arial"/>
          <w:sz w:val="22"/>
          <w:szCs w:val="22"/>
        </w:rPr>
        <w:t xml:space="preserve">Default settings are populated for all 4 versions (Actual, Budget, Before ABC, After ABC) at build time. Users adjust settings per version in PAW.</w:t>
      </w:r>
    </w:p>
    <w:p>
      <w:pPr>
        <w:spacing w:after="160"/>
      </w:pPr>
      <w:r>
        <w:t xml:space="preserve"/>
      </w:r>
    </w:p>
    <w:p>
      <w:pPr>
        <w:pStyle w:val="Heading2"/>
      </w:pPr>
      <w:r>
        <w:rPr>
          <w:rFonts w:ascii="Arial" w:cs="Arial" w:eastAsia="Arial" w:hAnsi="Arial"/>
          <w:b/>
          <w:bCs/>
          <w:sz w:val="26"/>
          <w:szCs w:val="26"/>
        </w:rPr>
        <w:t xml:space="preserve">create_cst_subsets_and_views.py</w:t>
      </w:r>
    </w:p>
    <w:p>
      <w:pPr>
        <w:spacing w:after="120"/>
      </w:pPr>
      <w:r>
        <w:rPr>
          <w:rFonts w:ascii="Arial" w:cs="Arial" w:eastAsia="Arial" w:hAnsi="Arial"/>
          <w:sz w:val="22"/>
          <w:szCs w:val="22"/>
        </w:rPr>
        <w:t xml:space="preserve">Creates all default subsets and MDX views using TM1py. Runs as the final step in build_cst_model.py.</w:t>
      </w:r>
    </w:p>
    <w:p>
      <w:pPr>
        <w:spacing w:after="160"/>
      </w:pPr>
      <w:r>
        <w:t xml:space="preserve"/>
      </w:r>
    </w:p>
    <w:p>
      <w:pPr>
        <w:spacing w:after="120"/>
      </w:pPr>
      <w:r>
        <w:rPr>
          <w:rFonts w:ascii="Arial" w:cs="Arial" w:eastAsia="Arial" w:hAnsi="Arial"/>
          <w:sz w:val="22"/>
          <w:szCs w:val="22"/>
        </w:rPr>
        <w:t xml:space="preserve">Subsets — two per dimension:</w:t>
      </w:r>
    </w:p>
    <w:p>
      <w:pPr>
        <w:spacing w:before="60" w:after="60"/>
        <w:ind w:left="720"/>
      </w:pPr>
      <w:r>
        <w:rPr>
          <w:rFonts w:ascii="Courier New" w:cs="Courier New" w:eastAsia="Courier New" w:hAnsi="Courier New"/>
          <w:color w:val="2E4057"/>
          <w:sz w:val="18"/>
          <w:szCs w:val="18"/>
        </w:rPr>
        <w:t xml:space="preserve">SYS All   MDX — all elements including consolidations</w:t>
      </w:r>
    </w:p>
    <w:p>
      <w:pPr>
        <w:spacing w:before="60" w:after="60"/>
        <w:ind w:left="720"/>
      </w:pPr>
      <w:r>
        <w:rPr>
          <w:rFonts w:ascii="Courier New" w:cs="Courier New" w:eastAsia="Courier New" w:hAnsi="Courier New"/>
          <w:color w:val="2E4057"/>
          <w:sz w:val="18"/>
          <w:szCs w:val="18"/>
        </w:rPr>
        <w:t xml:space="preserve">SYS Leaf  MDX — leaf elements only (TM1FILTERBYLEVEL level 0)</w:t>
      </w:r>
    </w:p>
    <w:p>
      <w:pPr>
        <w:spacing w:after="160"/>
      </w:pPr>
      <w:r>
        <w:t xml:space="preserve"/>
      </w:r>
    </w:p>
    <w:p>
      <w:pPr>
        <w:spacing w:after="120"/>
      </w:pPr>
      <w:r>
        <w:rPr>
          <w:rFonts w:ascii="Arial" w:cs="Arial" w:eastAsia="Arial" w:hAnsi="Arial"/>
          <w:sz w:val="22"/>
          <w:szCs w:val="22"/>
        </w:rPr>
        <w:t xml:space="preserve">Single-element filter subsets:</w:t>
      </w:r>
    </w:p>
    <w:p>
      <w:pPr>
        <w:spacing w:before="60" w:after="60"/>
        <w:ind w:left="720"/>
      </w:pPr>
      <w:r>
        <w:rPr>
          <w:rFonts w:ascii="Courier New" w:cs="Courier New" w:eastAsia="Courier New" w:hAnsi="Courier New"/>
          <w:color w:val="2E4057"/>
          <w:sz w:val="18"/>
          <w:szCs w:val="18"/>
        </w:rPr>
        <w:t xml:space="preserve">SYS Actual, SYS Budget, SYS Forecast       (GBL Version — read dynamically from TM1)</w:t>
      </w:r>
    </w:p>
    <w:p>
      <w:pPr>
        <w:spacing w:before="60" w:after="60"/>
        <w:ind w:left="720"/>
      </w:pPr>
      <w:r>
        <w:rPr>
          <w:rFonts w:ascii="Courier New" w:cs="Courier New" w:eastAsia="Courier New" w:hAnsi="Courier New"/>
          <w:color w:val="2E4057"/>
          <w:sz w:val="18"/>
          <w:szCs w:val="18"/>
        </w:rPr>
        <w:t xml:space="preserve">SYS FY 2025                                 (GBL Period)</w:t>
      </w:r>
    </w:p>
    <w:p>
      <w:pPr>
        <w:spacing w:before="60" w:after="60"/>
        <w:ind w:left="720"/>
      </w:pPr>
      <w:r>
        <w:rPr>
          <w:rFonts w:ascii="Courier New" w:cs="Courier New" w:eastAsia="Courier New" w:hAnsi="Courier New"/>
          <w:color w:val="2E4057"/>
          <w:sz w:val="18"/>
          <w:szCs w:val="18"/>
        </w:rPr>
        <w:t xml:space="preserve">SYS NET PROFIT                              (GBL Account)</w:t>
      </w:r>
    </w:p>
    <w:p>
      <w:pPr>
        <w:spacing w:before="60" w:after="60"/>
        <w:ind w:left="720"/>
      </w:pPr>
      <w:r>
        <w:rPr>
          <w:rFonts w:ascii="Courier New" w:cs="Courier New" w:eastAsia="Courier New" w:hAnsi="Courier New"/>
          <w:color w:val="2E4057"/>
          <w:sz w:val="18"/>
          <w:szCs w:val="18"/>
        </w:rPr>
        <w:t xml:space="preserve">SYS Total Departments, Total Cost Pools, Total Activities, Total Service Lines</w:t>
      </w:r>
    </w:p>
    <w:p>
      <w:pPr>
        <w:spacing w:before="60" w:after="60"/>
        <w:ind w:left="720"/>
      </w:pPr>
      <w:r>
        <w:rPr>
          <w:rFonts w:ascii="Courier New" w:cs="Courier New" w:eastAsia="Courier New" w:hAnsi="Courier New"/>
          <w:color w:val="2E4057"/>
          <w:sz w:val="18"/>
          <w:szCs w:val="18"/>
        </w:rPr>
        <w:t xml:space="preserve">SYS Amount, SYS Driver Value, SYS Pool Total, SYS Activity Total, SYS Allocated Amount</w:t>
      </w:r>
    </w:p>
    <w:p>
      <w:pPr>
        <w:spacing w:before="60" w:after="60"/>
        <w:ind w:left="720"/>
      </w:pPr>
      <w:r>
        <w:rPr>
          <w:rFonts w:ascii="Courier New" w:cs="Courier New" w:eastAsia="Courier New" w:hAnsi="Courier New"/>
          <w:color w:val="2E4057"/>
          <w:sz w:val="18"/>
          <w:szCs w:val="18"/>
        </w:rPr>
        <w:t xml:space="preserve">SYS Variance, SYS Post Allocation, SYS Pre Allocation</w:t>
      </w:r>
    </w:p>
    <w:p>
      <w:pPr>
        <w:spacing w:after="160"/>
      </w:pPr>
      <w:r>
        <w:t xml:space="preserve"/>
      </w:r>
    </w:p>
    <w:p>
      <w:pPr>
        <w:spacing w:after="120"/>
      </w:pPr>
      <w:r>
        <w:rPr>
          <w:rFonts w:ascii="Arial" w:cs="Arial" w:eastAsia="Arial" w:hAnsi="Arial"/>
          <w:sz w:val="22"/>
          <w:szCs w:val="22"/>
        </w:rPr>
        <w:t xml:space="preserve">Views — MDX views throughout (not native views). MDX views are used because:</w:t>
      </w:r>
    </w:p>
    <w:p>
      <w:pPr>
        <w:spacing w:before="60" w:after="60"/>
        <w:ind w:left="720"/>
      </w:pPr>
      <w:r>
        <w:rPr>
          <w:rFonts w:ascii="Courier New" w:cs="Courier New" w:eastAsia="Courier New" w:hAnsi="Courier New"/>
          <w:color w:val="2E4057"/>
          <w:sz w:val="18"/>
          <w:szCs w:val="18"/>
        </w:rPr>
        <w:t xml:space="preserve">— Reliable on TM1 V12 REST API</w:t>
      </w:r>
    </w:p>
    <w:p>
      <w:pPr>
        <w:spacing w:before="60" w:after="60"/>
        <w:ind w:left="720"/>
      </w:pPr>
      <w:r>
        <w:rPr>
          <w:rFonts w:ascii="Courier New" w:cs="Courier New" w:eastAsia="Courier New" w:hAnsi="Courier New"/>
          <w:color w:val="2E4057"/>
          <w:sz w:val="18"/>
          <w:szCs w:val="18"/>
        </w:rPr>
        <w:t xml:space="preserve">— Full MDX power for filtering</w:t>
      </w:r>
    </w:p>
    <w:p>
      <w:pPr>
        <w:spacing w:before="60" w:after="60"/>
        <w:ind w:left="720"/>
      </w:pPr>
      <w:r>
        <w:rPr>
          <w:rFonts w:ascii="Courier New" w:cs="Courier New" w:eastAsia="Courier New" w:hAnsi="Courier New"/>
          <w:color w:val="2E4057"/>
          <w:sz w:val="18"/>
          <w:szCs w:val="18"/>
        </w:rPr>
        <w:t xml:space="preserve">— Users can still explore and modify in PAW</w:t>
      </w:r>
    </w:p>
    <w:p>
      <w:pPr>
        <w:spacing w:before="60" w:after="60"/>
        <w:ind w:left="720"/>
      </w:pPr>
      <w:r>
        <w:rPr>
          <w:rFonts w:ascii="Courier New" w:cs="Courier New" w:eastAsia="Courier New" w:hAnsi="Courier New"/>
          <w:color w:val="2E4057"/>
          <w:sz w:val="18"/>
          <w:szCs w:val="18"/>
        </w:rPr>
        <w:t xml:space="preserve">— Simple REST API call</w:t>
      </w:r>
    </w:p>
    <w:p>
      <w:pPr>
        <w:spacing w:after="160"/>
      </w:pPr>
      <w:r>
        <w:t xml:space="preserve"/>
      </w:r>
    </w:p>
    <w:p>
      <w:pPr>
        <w:spacing w:after="120"/>
      </w:pPr>
      <w:r>
        <w:rPr>
          <w:rFonts w:ascii="Arial" w:cs="Arial" w:eastAsia="Arial" w:hAnsi="Arial"/>
          <w:sz w:val="22"/>
          <w:szCs w:val="22"/>
        </w:rPr>
        <w:t xml:space="preserve">View name: Default (not RPT Default) so PAW opens it automatically on double-click.</w:t>
      </w:r>
    </w:p>
    <w:p>
      <w:pPr>
        <w:spacing w:after="160"/>
      </w:pPr>
      <w:r>
        <w:t xml:space="preserve"/>
      </w:r>
    </w:p>
    <w:p>
      <w:pPr>
        <w:spacing w:after="120"/>
      </w:pPr>
      <w:r>
        <w:rPr>
          <w:rFonts w:ascii="Arial" w:cs="Arial" w:eastAsia="Arial" w:hAnsi="Arial"/>
          <w:sz w:val="22"/>
          <w:szCs w:val="22"/>
        </w:rPr>
        <w:t xml:space="preserve">Layout for all cubes:</w:t>
      </w:r>
    </w:p>
    <w:p>
      <w:pPr>
        <w:spacing w:before="60" w:after="60"/>
        <w:ind w:left="720"/>
      </w:pPr>
      <w:r>
        <w:rPr>
          <w:rFonts w:ascii="Courier New" w:cs="Courier New" w:eastAsia="Courier New" w:hAnsi="Courier New"/>
          <w:color w:val="2E4057"/>
          <w:sz w:val="18"/>
          <w:szCs w:val="18"/>
        </w:rPr>
        <w:t xml:space="preserve">Columns = GBL Period (leaf)</w:t>
      </w:r>
    </w:p>
    <w:p>
      <w:pPr>
        <w:spacing w:before="60" w:after="60"/>
        <w:ind w:left="720"/>
      </w:pPr>
      <w:r>
        <w:rPr>
          <w:rFonts w:ascii="Courier New" w:cs="Courier New" w:eastAsia="Courier New" w:hAnsi="Courier New"/>
          <w:color w:val="2E4057"/>
          <w:sz w:val="18"/>
          <w:szCs w:val="18"/>
        </w:rPr>
        <w:t xml:space="preserve">Rows    = primary analytical dimension (leaf)</w:t>
      </w:r>
    </w:p>
    <w:p>
      <w:pPr>
        <w:spacing w:before="60" w:after="60"/>
        <w:ind w:left="720"/>
      </w:pPr>
      <w:r>
        <w:rPr>
          <w:rFonts w:ascii="Courier New" w:cs="Courier New" w:eastAsia="Courier New" w:hAnsi="Courier New"/>
          <w:color w:val="2E4057"/>
          <w:sz w:val="18"/>
          <w:szCs w:val="18"/>
        </w:rPr>
        <w:t xml:space="preserve">WHERE   = Version=Actual, key measure, dimension totals</w:t>
      </w:r>
    </w:p>
    <w:p>
      <w:pPr>
        <w:spacing w:after="160"/>
      </w:pPr>
      <w:r>
        <w:t xml:space="preserve"/>
      </w:r>
    </w:p>
    <w:p>
      <w:pPr>
        <w:spacing w:after="120"/>
      </w:pPr>
      <w:r>
        <w:rPr>
          <w:rFonts w:ascii="Arial" w:cs="Arial" w:eastAsia="Arial" w:hAnsi="Arial"/>
          <w:sz w:val="22"/>
          <w:szCs w:val="22"/>
        </w:rPr>
        <w:t xml:space="preserve">The script deletes existing views (public and private) before recreating them to avoid PAW caching stale views.</w:t>
      </w:r>
    </w:p>
    <w:p>
      <w:pPr>
        <w:spacing w:after="160"/>
      </w:pPr>
      <w:r>
        <w:t xml:space="preserve"/>
      </w:r>
    </w:p>
    <w:p>
      <w:r>
        <w:br w:type="page"/>
      </w:r>
    </w:p>
    <w:p>
      <w:pPr>
        <w:pStyle w:val="Heading1"/>
      </w:pPr>
      <w:r>
        <w:rPr>
          <w:rFonts w:ascii="Arial" w:cs="Arial" w:eastAsia="Arial" w:hAnsi="Arial"/>
          <w:b/>
          <w:bCs/>
          <w:sz w:val="32"/>
          <w:szCs w:val="32"/>
        </w:rPr>
        <w:t xml:space="preserve">6. TI Process JSON Files</w:t>
      </w:r>
    </w:p>
    <w:p>
      <w:pPr>
        <w:spacing w:after="120"/>
      </w:pPr>
      <w:r>
        <w:rPr>
          <w:rFonts w:ascii="Arial" w:cs="Arial" w:eastAsia="Arial" w:hAnsi="Arial"/>
          <w:sz w:val="22"/>
          <w:szCs w:val="22"/>
        </w:rPr>
        <w:t xml:space="preserve">All TI process JSON files are stored in the json_files/ subdirectory. They are generated by the create_json_ti_* scripts and read by the create_ti_* deploy scripts.</w:t>
      </w:r>
    </w:p>
    <w:p>
      <w:pPr>
        <w:spacing w:after="160"/>
      </w:pPr>
      <w:r>
        <w:t xml:space="preserve"/>
      </w:r>
    </w:p>
    <w:p>
      <w:pPr>
        <w:pStyle w:val="Heading2"/>
      </w:pPr>
      <w:r>
        <w:rPr>
          <w:rFonts w:ascii="Arial" w:cs="Arial" w:eastAsia="Arial" w:hAnsi="Arial"/>
          <w:b/>
          <w:bCs/>
          <w:sz w:val="26"/>
          <w:szCs w:val="26"/>
        </w:rPr>
        <w:t xml:space="preserve">json_files/ti_meta_data_gbl_period.json</w:t>
      </w:r>
    </w:p>
    <w:p>
      <w:pPr>
        <w:spacing w:after="120"/>
      </w:pPr>
      <w:r>
        <w:rPr>
          <w:rFonts w:ascii="Arial" w:cs="Arial" w:eastAsia="Arial" w:hAnsi="Arial"/>
          <w:sz w:val="22"/>
          <w:szCs w:val="22"/>
        </w:rPr>
        <w:t xml:space="preserve">TI process definition for META DATA GBL Period. Builds the full GBL Period dimension with Australian FY structure, all period hierarchies and 16 attributes per period. Generated by create_json_ti_meta_data_gbl_period.py.</w:t>
      </w:r>
    </w:p>
    <w:p>
      <w:pPr>
        <w:spacing w:after="160"/>
      </w:pPr>
      <w:r>
        <w:t xml:space="preserve"/>
      </w:r>
    </w:p>
    <w:p>
      <w:pPr>
        <w:pStyle w:val="Heading2"/>
      </w:pPr>
      <w:r>
        <w:rPr>
          <w:rFonts w:ascii="Arial" w:cs="Arial" w:eastAsia="Arial" w:hAnsi="Arial"/>
          <w:b/>
          <w:bCs/>
          <w:sz w:val="26"/>
          <w:szCs w:val="26"/>
        </w:rPr>
        <w:t xml:space="preserve">json_files/ti_meta_data_gbl_version.json</w:t>
      </w:r>
    </w:p>
    <w:p>
      <w:pPr>
        <w:spacing w:after="120"/>
      </w:pPr>
      <w:r>
        <w:rPr>
          <w:rFonts w:ascii="Arial" w:cs="Arial" w:eastAsia="Arial" w:hAnsi="Arial"/>
          <w:sz w:val="22"/>
          <w:szCs w:val="22"/>
        </w:rPr>
        <w:t xml:space="preserve">TI process definition for META DATA GBL Version. Sets version attributes on GBL Version and populates Is Active, Is Locked, Current Period Flag in GBL Assumptions for the specified version and period range. Generated by create_json_ti_meta_data_gbl_version.py.</w:t>
      </w:r>
    </w:p>
    <w:p>
      <w:pPr>
        <w:spacing w:after="160"/>
      </w:pPr>
      <w:r>
        <w:t xml:space="preserve"/>
      </w:r>
    </w:p>
    <w:p>
      <w:r>
        <w:br w:type="page"/>
      </w:r>
    </w:p>
    <w:p>
      <w:pPr>
        <w:pStyle w:val="Heading1"/>
      </w:pPr>
      <w:r>
        <w:rPr>
          <w:rFonts w:ascii="Arial" w:cs="Arial" w:eastAsia="Arial" w:hAnsi="Arial"/>
          <w:b/>
          <w:bCs/>
          <w:sz w:val="32"/>
          <w:szCs w:val="32"/>
        </w:rPr>
        <w:t xml:space="preserve">7. Utility Scripts</w:t>
      </w:r>
    </w:p>
    <w:p>
      <w:pPr>
        <w:pStyle w:val="Heading2"/>
      </w:pPr>
      <w:r>
        <w:rPr>
          <w:rFonts w:ascii="Arial" w:cs="Arial" w:eastAsia="Arial" w:hAnsi="Arial"/>
          <w:b/>
          <w:bCs/>
          <w:sz w:val="26"/>
          <w:szCs w:val="26"/>
        </w:rPr>
        <w:t xml:space="preserve">tm1py_connect.py</w:t>
      </w:r>
    </w:p>
    <w:p>
      <w:pPr>
        <w:spacing w:after="120"/>
      </w:pPr>
      <w:r>
        <w:rPr>
          <w:rFonts w:ascii="Arial" w:cs="Arial" w:eastAsia="Arial" w:hAnsi="Arial"/>
          <w:sz w:val="22"/>
          <w:szCs w:val="22"/>
        </w:rPr>
        <w:t xml:space="preserve">TM1py session helper used by all dimension and cube build scripts. Handles the V12 on-prem authentication quirks including the TM1SessionId cookie and database-scoped base URL. Includes monkey patches required for TM1py to work with V12 on-prem.</w:t>
      </w:r>
    </w:p>
    <w:p>
      <w:pPr>
        <w:spacing w:after="160"/>
      </w:pPr>
      <w:r>
        <w:t xml:space="preserve"/>
      </w:r>
    </w:p>
    <w:p>
      <w:pPr>
        <w:pStyle w:val="Heading2"/>
      </w:pPr>
      <w:r>
        <w:rPr>
          <w:rFonts w:ascii="Arial" w:cs="Arial" w:eastAsia="Arial" w:hAnsi="Arial"/>
          <w:b/>
          <w:bCs/>
          <w:sz w:val="26"/>
          <w:szCs w:val="26"/>
        </w:rPr>
        <w:t xml:space="preserve">tm1_connect.py</w:t>
      </w:r>
    </w:p>
    <w:p>
      <w:pPr>
        <w:spacing w:after="120"/>
      </w:pPr>
      <w:r>
        <w:rPr>
          <w:rFonts w:ascii="Arial" w:cs="Arial" w:eastAsia="Arial" w:hAnsi="Arial"/>
          <w:sz w:val="22"/>
          <w:szCs w:val="22"/>
        </w:rPr>
        <w:t xml:space="preserve">Raw requests.Session helper used by the TI deploy scripts (create_ti_meta_data_gbl_period.py and create_ti_meta_data_gbl_version.py). Returns a session with base_url set to the V12 database endpoint.</w:t>
      </w:r>
    </w:p>
    <w:p>
      <w:pPr>
        <w:spacing w:after="160"/>
      </w:pPr>
      <w:r>
        <w:t xml:space="preserve"/>
      </w:r>
    </w:p>
    <w:p>
      <w:pPr>
        <w:pStyle w:val="Heading2"/>
      </w:pPr>
      <w:r>
        <w:rPr>
          <w:rFonts w:ascii="Arial" w:cs="Arial" w:eastAsia="Arial" w:hAnsi="Arial"/>
          <w:b/>
          <w:bCs/>
          <w:sz w:val="26"/>
          <w:szCs w:val="26"/>
        </w:rPr>
        <w:t xml:space="preserve">json_to_tm1.py</w:t>
      </w:r>
    </w:p>
    <w:p>
      <w:pPr>
        <w:spacing w:after="120"/>
      </w:pPr>
      <w:r>
        <w:rPr>
          <w:rFonts w:ascii="Arial" w:cs="Arial" w:eastAsia="Arial" w:hAnsi="Arial"/>
          <w:sz w:val="22"/>
          <w:szCs w:val="22"/>
        </w:rPr>
        <w:t xml:space="preserve">Standalone utility for deploying any TI process JSON file to TM1 via REST API. Supports single file mode (--file) and folder mode (--json_folder). Uses POST for new processes and PATCH for updates.</w:t>
      </w:r>
    </w:p>
    <w:p>
      <w:pPr>
        <w:spacing w:after="160"/>
      </w:pPr>
      <w:r>
        <w:t xml:space="preserve"/>
      </w:r>
    </w:p>
    <w:p>
      <w:pPr>
        <w:pStyle w:val="Heading2"/>
      </w:pPr>
      <w:r>
        <w:rPr>
          <w:rFonts w:ascii="Arial" w:cs="Arial" w:eastAsia="Arial" w:hAnsi="Arial"/>
          <w:b/>
          <w:bCs/>
          <w:sz w:val="26"/>
          <w:szCs w:val="26"/>
        </w:rPr>
        <w:t xml:space="preserve">pro_to_json.py</w:t>
      </w:r>
    </w:p>
    <w:p>
      <w:pPr>
        <w:spacing w:after="120"/>
      </w:pPr>
      <w:r>
        <w:rPr>
          <w:rFonts w:ascii="Arial" w:cs="Arial" w:eastAsia="Arial" w:hAnsi="Arial"/>
          <w:sz w:val="22"/>
          <w:szCs w:val="22"/>
        </w:rPr>
        <w:t xml:space="preserve">Converts TM1 .pro files to the REST API JSON format required by TM1 V12. Useful for migrating existing TI processes from older TM1 environments. Handles all four TI sections (Prolog, Metadata, Data, Epilog), parameters, variables and data source definitions.</w:t>
      </w:r>
    </w:p>
    <w:p>
      <w:pPr>
        <w:spacing w:after="160"/>
      </w:pPr>
      <w:r>
        <w:t xml:space="preserve"/>
      </w:r>
    </w:p>
    <w:p>
      <w:pPr>
        <w:pStyle w:val="Heading2"/>
      </w:pPr>
      <w:r>
        <w:rPr>
          <w:rFonts w:ascii="Arial" w:cs="Arial" w:eastAsia="Arial" w:hAnsi="Arial"/>
          <w:b/>
          <w:bCs/>
          <w:sz w:val="26"/>
          <w:szCs w:val="26"/>
        </w:rPr>
        <w:t xml:space="preserve">ti_lint.py</w:t>
      </w:r>
    </w:p>
    <w:p>
      <w:pPr>
        <w:spacing w:after="120"/>
      </w:pPr>
      <w:r>
        <w:rPr>
          <w:rFonts w:ascii="Arial" w:cs="Arial" w:eastAsia="Arial" w:hAnsi="Arial"/>
          <w:sz w:val="22"/>
          <w:szCs w:val="22"/>
        </w:rPr>
        <w:t xml:space="preserve">TI code quality checker. Runs static analysis on TI process JSON files to check for common issues such as missing error handling, undeclared variables, and code quality problems.</w:t>
      </w:r>
    </w:p>
    <w:p>
      <w:pPr>
        <w:spacing w:after="160"/>
      </w:pPr>
      <w:r>
        <w:t xml:space="preserve"/>
      </w:r>
    </w:p>
    <w:p>
      <w:pPr>
        <w:pStyle w:val="Heading2"/>
      </w:pPr>
      <w:r>
        <w:rPr>
          <w:rFonts w:ascii="Arial" w:cs="Arial" w:eastAsia="Arial" w:hAnsi="Arial"/>
          <w:b/>
          <w:bCs/>
          <w:sz w:val="26"/>
          <w:szCs w:val="26"/>
        </w:rPr>
        <w:t xml:space="preserve">cleanup_old_processes.py</w:t>
      </w:r>
    </w:p>
    <w:p>
      <w:pPr>
        <w:spacing w:after="120"/>
      </w:pPr>
      <w:r>
        <w:rPr>
          <w:rFonts w:ascii="Arial" w:cs="Arial" w:eastAsia="Arial" w:hAnsi="Arial"/>
          <w:sz w:val="22"/>
          <w:szCs w:val="22"/>
        </w:rPr>
        <w:t xml:space="preserve">One-off utility that removes superseded TI processes from TM1. Used during the naming convention cleanup to remove the old DIM.BUILD.Period process after it was renamed to META DATA GBL Period.</w:t>
      </w:r>
    </w:p>
    <w:p>
      <w:pPr>
        <w:spacing w:after="160"/>
      </w:pPr>
      <w:r>
        <w:t xml:space="preserve"/>
      </w:r>
    </w:p>
    <w:p>
      <w:r>
        <w:br w:type="page"/>
      </w:r>
    </w:p>
    <w:p>
      <w:pPr>
        <w:pStyle w:val="Heading1"/>
      </w:pPr>
      <w:r>
        <w:rPr>
          <w:rFonts w:ascii="Arial" w:cs="Arial" w:eastAsia="Arial" w:hAnsi="Arial"/>
          <w:b/>
          <w:bCs/>
          <w:sz w:val="32"/>
          <w:szCs w:val="32"/>
        </w:rPr>
        <w:t xml:space="preserve">8. Diagnostic Scripts</w:t>
      </w:r>
    </w:p>
    <w:p>
      <w:pPr>
        <w:spacing w:after="120"/>
      </w:pPr>
      <w:r>
        <w:rPr>
          <w:rFonts w:ascii="Arial" w:cs="Arial" w:eastAsia="Arial" w:hAnsi="Arial"/>
          <w:i/>
          <w:iCs/>
          <w:sz w:val="22"/>
          <w:szCs w:val="22"/>
        </w:rPr>
        <w:t xml:space="preserve">The following scripts were created during development to diagnose TM1 V12 REST API issues. They can be safely deleted from a production environment.</w:t>
      </w:r>
    </w:p>
    <w:p>
      <w:pPr>
        <w:spacing w:after="160"/>
      </w:pPr>
      <w:r>
        <w:t xml:space="preserve"/>
      </w:r>
    </w:p>
    <w:p>
      <w:pPr>
        <w:pStyle w:val="Heading2"/>
      </w:pPr>
      <w:r>
        <w:rPr>
          <w:rFonts w:ascii="Arial" w:cs="Arial" w:eastAsia="Arial" w:hAnsi="Arial"/>
          <w:b/>
          <w:bCs/>
          <w:sz w:val="26"/>
          <w:szCs w:val="26"/>
        </w:rPr>
        <w:t xml:space="preserve">test_set_attr.py</w:t>
      </w:r>
    </w:p>
    <w:p>
      <w:pPr>
        <w:spacing w:after="120"/>
      </w:pPr>
      <w:r>
        <w:rPr>
          <w:rFonts w:ascii="Arial" w:cs="Arial" w:eastAsia="Arial" w:hAnsi="Arial"/>
          <w:sz w:val="22"/>
          <w:szCs w:val="22"/>
        </w:rPr>
        <w:t xml:space="preserve">Tests all known methods for writing element attribute values on V12. Creates a temporary test dimension, tries four different REST API approaches, and reports which succeeds. Used to discover that V12 requires write_through_unbound_process for string data.</w:t>
      </w:r>
    </w:p>
    <w:p>
      <w:pPr>
        <w:spacing w:after="160"/>
      </w:pPr>
      <w:r>
        <w:t xml:space="preserve"/>
      </w:r>
    </w:p>
    <w:p>
      <w:pPr>
        <w:pStyle w:val="Heading2"/>
      </w:pPr>
      <w:r>
        <w:rPr>
          <w:rFonts w:ascii="Arial" w:cs="Arial" w:eastAsia="Arial" w:hAnsi="Arial"/>
          <w:b/>
          <w:bCs/>
          <w:sz w:val="26"/>
          <w:szCs w:val="26"/>
        </w:rPr>
        <w:t xml:space="preserve">test_set_attr2.py / test_set_attr3.py</w:t>
      </w:r>
    </w:p>
    <w:p>
      <w:pPr>
        <w:spacing w:after="120"/>
      </w:pPr>
      <w:r>
        <w:rPr>
          <w:rFonts w:ascii="Arial" w:cs="Arial" w:eastAsia="Arial" w:hAnsi="Arial"/>
          <w:sz w:val="22"/>
          <w:szCs w:val="22"/>
        </w:rPr>
        <w:t xml:space="preserve">Extended V12 REST API diagnostics. Tests additional endpoints including tm1.SetValue, CellUpdateMDX, and URL-encoded cube name variants. Used to investigate the }ElementAttributes cube structure on V12.</w:t>
      </w:r>
    </w:p>
    <w:p>
      <w:pPr>
        <w:spacing w:after="160"/>
      </w:pPr>
      <w:r>
        <w:t xml:space="preserve"/>
      </w:r>
    </w:p>
    <w:p>
      <w:pPr>
        <w:pStyle w:val="Heading2"/>
      </w:pPr>
      <w:r>
        <w:rPr>
          <w:rFonts w:ascii="Arial" w:cs="Arial" w:eastAsia="Arial" w:hAnsi="Arial"/>
          <w:b/>
          <w:bCs/>
          <w:sz w:val="26"/>
          <w:szCs w:val="26"/>
        </w:rPr>
        <w:t xml:space="preserve">test_string_write.py</w:t>
      </w:r>
    </w:p>
    <w:p>
      <w:pPr>
        <w:spacing w:after="120"/>
      </w:pPr>
      <w:r>
        <w:rPr>
          <w:rFonts w:ascii="Arial" w:cs="Arial" w:eastAsia="Arial" w:hAnsi="Arial"/>
          <w:sz w:val="22"/>
          <w:szCs w:val="22"/>
        </w:rPr>
        <w:t xml:space="preserve">Tests writing a single string value to the CST Allocation Config cube. Used to diagnose the DataSpreadFailed error and confirm that String-type measure elements are required for string cube writes.</w:t>
      </w:r>
    </w:p>
    <w:p>
      <w:pPr>
        <w:spacing w:after="160"/>
      </w:pPr>
      <w:r>
        <w:t xml:space="preserve"/>
      </w:r>
    </w:p>
    <w:p>
      <w:pPr>
        <w:pStyle w:val="Heading2"/>
      </w:pPr>
      <w:r>
        <w:rPr>
          <w:rFonts w:ascii="Arial" w:cs="Arial" w:eastAsia="Arial" w:hAnsi="Arial"/>
          <w:b/>
          <w:bCs/>
          <w:sz w:val="26"/>
          <w:szCs w:val="26"/>
        </w:rPr>
        <w:t xml:space="preserve">read_ti_log.py</w:t>
      </w:r>
    </w:p>
    <w:p>
      <w:pPr>
        <w:spacing w:after="120"/>
      </w:pPr>
      <w:r>
        <w:rPr>
          <w:rFonts w:ascii="Arial" w:cs="Arial" w:eastAsia="Arial" w:hAnsi="Arial"/>
          <w:sz w:val="22"/>
          <w:szCs w:val="22"/>
        </w:rPr>
        <w:t xml:space="preserve">Reads TM1 message log entries via the REST API. Used to diagnose TI process failures when log files were not accessible via the filesystem. Note: the MessageLog endpoint is deprecated in TM1 V12 — this script has limited functionality on V12.</w:t>
      </w:r>
    </w:p>
    <w:p>
      <w:pPr>
        <w:spacing w:after="160"/>
      </w:pPr>
      <w:r>
        <w:t xml:space="preserve"/>
      </w:r>
    </w:p>
    <w:p>
      <w:pPr>
        <w:pStyle w:val="Heading2"/>
      </w:pPr>
      <w:r>
        <w:rPr>
          <w:rFonts w:ascii="Arial" w:cs="Arial" w:eastAsia="Arial" w:hAnsi="Arial"/>
          <w:b/>
          <w:bCs/>
          <w:sz w:val="26"/>
          <w:szCs w:val="26"/>
        </w:rPr>
        <w:t xml:space="preserve">fix_config_measure.py</w:t>
      </w:r>
    </w:p>
    <w:p>
      <w:pPr>
        <w:spacing w:after="120"/>
      </w:pPr>
      <w:r>
        <w:rPr>
          <w:rFonts w:ascii="Arial" w:cs="Arial" w:eastAsia="Arial" w:hAnsi="Arial"/>
          <w:sz w:val="22"/>
          <w:szCs w:val="22"/>
        </w:rPr>
        <w:t xml:space="preserve">One-off fix script that deletes and rebuilds CST Allocation Config Measure with String-type elements. Created to fix the issue where the dimension was initially built with Numeric elements, preventing string values from being written. Not needed after a clean build.</w:t>
      </w:r>
    </w:p>
    <w:p>
      <w:pPr>
        <w:spacing w:after="160"/>
      </w:pPr>
      <w:r>
        <w:t xml:space="preserve"/>
      </w:r>
    </w:p>
    <w:p>
      <w:r>
        <w:br w:type="page"/>
      </w:r>
    </w:p>
    <w:p>
      <w:pPr>
        <w:pStyle w:val="Heading1"/>
      </w:pPr>
      <w:r>
        <w:rPr>
          <w:rFonts w:ascii="Arial" w:cs="Arial" w:eastAsia="Arial" w:hAnsi="Arial"/>
          <w:b/>
          <w:bCs/>
          <w:sz w:val="32"/>
          <w:szCs w:val="32"/>
        </w:rPr>
        <w:t xml:space="preserve">8. Key Design Decisions</w:t>
      </w:r>
    </w:p>
    <w:p>
      <w:pPr>
        <w:pStyle w:val="Heading2"/>
      </w:pPr>
      <w:r>
        <w:rPr>
          <w:rFonts w:ascii="Arial" w:cs="Arial" w:eastAsia="Arial" w:hAnsi="Arial"/>
          <w:b/>
          <w:bCs/>
          <w:sz w:val="26"/>
          <w:szCs w:val="26"/>
        </w:rPr>
        <w:t xml:space="preserve">TM1py for All Builds</w:t>
      </w:r>
    </w:p>
    <w:p>
      <w:pPr>
        <w:spacing w:after="120"/>
      </w:pPr>
      <w:r>
        <w:rPr>
          <w:rFonts w:ascii="Arial" w:cs="Arial" w:eastAsia="Arial" w:hAnsi="Arial"/>
          <w:sz w:val="22"/>
          <w:szCs w:val="22"/>
        </w:rPr>
        <w:t xml:space="preserve">All dimension, cube and cell write operations use TM1py rather than raw REST API calls. TM1py handles V12-specific endpoint changes internally, including the switch from /Cells to /tm1.Update for numeric writes, and uses write_through_unbound_process (TI-based) for string data.</w:t>
      </w:r>
    </w:p>
    <w:p>
      <w:pPr>
        <w:spacing w:after="160"/>
      </w:pPr>
      <w:r>
        <w:t xml:space="preserve"/>
      </w:r>
    </w:p>
    <w:p>
      <w:pPr>
        <w:pStyle w:val="Heading2"/>
      </w:pPr>
      <w:r>
        <w:rPr>
          <w:rFonts w:ascii="Arial" w:cs="Arial" w:eastAsia="Arial" w:hAnsi="Arial"/>
          <w:b/>
          <w:bCs/>
          <w:sz w:val="26"/>
          <w:szCs w:val="26"/>
        </w:rPr>
        <w:t xml:space="preserve">Code as Element, Description as Alias</w:t>
      </w:r>
    </w:p>
    <w:p>
      <w:pPr>
        <w:spacing w:after="120"/>
      </w:pPr>
      <w:r>
        <w:rPr>
          <w:rFonts w:ascii="Arial" w:cs="Arial" w:eastAsia="Arial" w:hAnsi="Arial"/>
          <w:sz w:val="22"/>
          <w:szCs w:val="22"/>
        </w:rPr>
        <w:t xml:space="preserve">All coded dimensions (Account, Department, Cost Pool, Activity, Service Line, Reconciliation Check) use the code as the element name with two aliases — Code &amp; Desc (e.g. CP01 Facility Management) and Desc (e.g. Facility Management). This matches TM1 best practice where the code is the stable key and the description is display metadata.</w:t>
      </w:r>
    </w:p>
    <w:p>
      <w:pPr>
        <w:spacing w:after="160"/>
      </w:pPr>
      <w:r>
        <w:t xml:space="preserve"/>
      </w:r>
    </w:p>
    <w:p>
      <w:pPr>
        <w:pStyle w:val="Heading2"/>
      </w:pPr>
      <w:r>
        <w:rPr>
          <w:rFonts w:ascii="Arial" w:cs="Arial" w:eastAsia="Arial" w:hAnsi="Arial"/>
          <w:b/>
          <w:bCs/>
          <w:sz w:val="26"/>
          <w:szCs w:val="26"/>
        </w:rPr>
        <w:t xml:space="preserve">Version-Aware Settings in a Cube</w:t>
      </w:r>
    </w:p>
    <w:p>
      <w:pPr>
        <w:spacing w:after="120"/>
      </w:pPr>
      <w:r>
        <w:rPr>
          <w:rFonts w:ascii="Arial" w:cs="Arial" w:eastAsia="Arial" w:hAnsi="Arial"/>
          <w:sz w:val="22"/>
          <w:szCs w:val="22"/>
        </w:rPr>
        <w:t xml:space="preserve">All model settings that vary by version (Pool Mapping, Is Allocated, Primary Driver, Cost Driver, Revenue Type) are stored in the CST Allocation Config cube rather than as dimension attributes. This allows Budget and Forecast to have different allocation structures to Actual.</w:t>
      </w:r>
    </w:p>
    <w:p>
      <w:pPr>
        <w:spacing w:after="160"/>
      </w:pPr>
      <w:r>
        <w:t xml:space="preserve"/>
      </w:r>
    </w:p>
    <w:p>
      <w:pPr>
        <w:pStyle w:val="Heading2"/>
      </w:pPr>
      <w:r>
        <w:rPr>
          <w:rFonts w:ascii="Arial" w:cs="Arial" w:eastAsia="Arial" w:hAnsi="Arial"/>
          <w:b/>
          <w:bCs/>
          <w:sz w:val="26"/>
          <w:szCs w:val="26"/>
        </w:rPr>
        <w:t xml:space="preserve">GBL Assumptions as Central Control Layer</w:t>
      </w:r>
    </w:p>
    <w:p>
      <w:pPr>
        <w:spacing w:after="120"/>
      </w:pPr>
      <w:r>
        <w:rPr>
          <w:rFonts w:ascii="Arial" w:cs="Arial" w:eastAsia="Arial" w:hAnsi="Arial"/>
          <w:sz w:val="22"/>
          <w:szCs w:val="22"/>
        </w:rPr>
        <w:t xml:space="preserve">The GBL Assumptions cube (GBL Version x GBL Period x Measure) is the single source of truth for operational flags. The META DATA GBL Version TI populates Is Active and other period flags, which the ADMIN allocation chore reads to determine which periods to process.</w:t>
      </w:r>
    </w:p>
    <w:p>
      <w:pPr>
        <w:spacing w:after="160"/>
      </w:pPr>
      <w:r>
        <w:t xml:space="preserve"/>
      </w:r>
    </w:p>
    <w:p>
      <w:pPr>
        <w:pStyle w:val="Heading2"/>
      </w:pPr>
      <w:r>
        <w:rPr>
          <w:rFonts w:ascii="Arial" w:cs="Arial" w:eastAsia="Arial" w:hAnsi="Arial"/>
          <w:b/>
          <w:bCs/>
          <w:sz w:val="26"/>
          <w:szCs w:val="26"/>
        </w:rPr>
        <w:t xml:space="preserve">Separation of GBL and CST</w:t>
      </w:r>
    </w:p>
    <w:p>
      <w:pPr>
        <w:spacing w:after="120"/>
      </w:pPr>
      <w:r>
        <w:rPr>
          <w:rFonts w:ascii="Arial" w:cs="Arial" w:eastAsia="Arial" w:hAnsi="Arial"/>
          <w:sz w:val="22"/>
          <w:szCs w:val="22"/>
        </w:rPr>
        <w:t xml:space="preserve">GBL objects (Account, Version, Period, Assumptions) are built and managed independently of the CST module. build_cst_model.py checks that all GBL dependencies exist before proceeding, ensuring the correct build sequence is enforced programmatically.</w:t>
      </w:r>
    </w:p>
    <w:p>
      <w:pPr>
        <w:spacing w:after="160"/>
      </w:pPr>
      <w:r>
        <w:t xml:space="preserve"/>
      </w:r>
    </w:p>
    <w:p>
      <w:pPr>
        <w:pStyle w:val="Heading2"/>
      </w:pPr>
      <w:r>
        <w:rPr>
          <w:rFonts w:ascii="Arial" w:cs="Arial" w:eastAsia="Arial" w:hAnsi="Arial"/>
          <w:b/>
          <w:bCs/>
          <w:sz w:val="26"/>
          <w:szCs w:val="26"/>
        </w:rPr>
        <w:t xml:space="preserve">JSON Files in json_files/ Subdirectory</w:t>
      </w:r>
    </w:p>
    <w:p>
      <w:pPr>
        <w:spacing w:after="120"/>
      </w:pPr>
      <w:r>
        <w:rPr>
          <w:rFonts w:ascii="Arial" w:cs="Arial" w:eastAsia="Arial" w:hAnsi="Arial"/>
          <w:sz w:val="22"/>
          <w:szCs w:val="22"/>
        </w:rPr>
        <w:t xml:space="preserve">All TI process JSON files are stored in json_files/ rather than the project root. This keeps the directory clean and makes it easy to distinguish build scripts from TI process definitions.</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4057"/>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2026-03-16T21:56:44.129Z</dcterms:created>
  <dcterms:modified xsi:type="dcterms:W3CDTF">2026-03-16T21:56:44.131Z</dcterms:modified>
</cp:coreProperties>
</file>

<file path=docProps/custom.xml><?xml version="1.0" encoding="utf-8"?>
<Properties xmlns="http://schemas.openxmlformats.org/officeDocument/2006/custom-properties" xmlns:vt="http://schemas.openxmlformats.org/officeDocument/2006/docPropsVTypes"/>
</file>