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{{Valid Date}}</w:t>
      </w:r>
      <w:r w:rsidR="00986ACA">
        <w:rPr>
          <w:rFonts w:ascii="Verdana" w:hAnsi="Verdana" w:cs="Segoe UI"/>
        </w:rPr>
        <w:t>Ref: DIPL/OJBMS/</w:t>
      </w:r>
      <w:r w:rsidR="00407108">
        <w:rPr>
          <w:rFonts w:ascii="Verdana" w:hAnsi="Verdana" w:cs="Segoe UI"/>
        </w:rPr>
        <w:t>{{City}}</w:t>
      </w:r>
      <w:r w:rsidR="00183BA3">
        <w:rPr>
          <w:rFonts w:ascii="Verdana" w:hAnsi="Verdana" w:cs="Segoe UI"/>
        </w:rPr>
        <w:t>/</w:t>
      </w:r>
      <w:r w:rsidR="00407108">
        <w:rPr>
          <w:rFonts w:ascii="Verdana" w:hAnsi="Verdana" w:cs="Segoe UI"/>
        </w:rPr>
        <w:t>{{Short N.}}</w:t>
      </w:r>
      <w:r w:rsidR="00B76C1B">
        <w:rPr>
          <w:rFonts w:ascii="Verdana" w:hAnsi="Verdana" w:cs="Segoe UI"/>
        </w:rPr>
        <w:t>/</w:t>
      </w:r>
      <w:r w:rsidR="00407108">
        <w:rPr>
          <w:rFonts w:ascii="Verdana" w:hAnsi="Verdana" w:cs="Segoe UI"/>
        </w:rPr>
        <w:t>{{year}}</w:t>
      </w:r>
      <w:r w:rsidR="00986ACA">
        <w:rPr>
          <w:rFonts w:ascii="Verdana" w:hAnsi="Verdana" w:cs="Segoe UI"/>
        </w:rPr>
        <w:t>/</w:t>
      </w:r>
      <w:r w:rsidR="00407108">
        <w:rPr>
          <w:rFonts w:ascii="Verdana" w:hAnsi="Verdana" w:cs="Segoe UI"/>
        </w:rPr>
        <w:t>{{Ref. Date}}  {{today’s date}}</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{{Cont. Person Name}}</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{{Valid Date}}</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{{Prepared By}}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{{Prepared By Contact Number}}</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{{Month}}</w:t>
    </w:r>
    <w:r>
      <w:rPr>
        <w:rFonts w:ascii="Lucida Sans Unicode" w:hAnsi="Lucida Sans Unicode" w:cs="Lucida Sans Unicode"/>
        <w:sz w:val="20"/>
        <w:szCs w:val="20"/>
      </w:rPr>
      <w:t>,</w:t>
    </w:r>
    <w:r w:rsidR="00407108">
      <w:rPr>
        <w:rFonts w:ascii="Lucida Sans Unicode" w:hAnsi="Lucida Sans Unicode" w:cs="Lucida Sans Unicode"/>
        <w:sz w:val="20"/>
        <w:szCs w:val="20"/>
      </w:rPr>
      <w:t>{{Year}}</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{{Company Name}}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{{Business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