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B4A8"/>
          <w:sz w:val="64"/>
          <w:szCs w:val="64"/>
        </w:rPr>
        <w:t xml:space="preserve">ShellTI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Technology Consultancy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B4A8"/>
          <w:spacing w:val="120"/>
          <w:sz w:val="20"/>
          <w:szCs w:val="20"/>
        </w:rPr>
        <w:t xml:space="preserve">PROPUESTA DE SERVICIOS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80C1F"/>
          <w:sz w:val="52"/>
          <w:szCs w:val="52"/>
        </w:rPr>
        <w:t xml:space="preserve">Adecuación a la Ley 21.719</w:t>
      </w:r>
    </w:p>
    <w:p>
      <w:pPr>
        <w:spacing w:after="360" w:before="0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Protección de Datos Personales en Chile</w:t>
      </w:r>
    </w:p>
    <w:p>
      <w:pPr>
        <w:pBdr>
          <w:bottom w:val="single" w:color="00B4A8" w:sz="8" w:space="1"/>
        </w:pBdr>
        <w:spacing w:after="120" w:before="0"/>
      </w:pPr>
      <w:r>
        <w:t xml:space="preserve"/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B4A8"/>
                <w:sz w:val="18"/>
                <w:szCs w:val="18"/>
              </w:rPr>
              <w:t xml:space="preserve">Preparado por</w:t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ShellTI Technology Consultancy</w:t>
            </w:r>
          </w:p>
        </w:tc>
      </w:tr>
    </w:tbl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B4A8"/>
                <w:sz w:val="18"/>
                <w:szCs w:val="18"/>
              </w:rPr>
              <w:t xml:space="preserve">Dirigido a</w:t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[Nombre del Cliente]</w:t>
            </w:r>
          </w:p>
        </w:tc>
      </w:tr>
    </w:tbl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B4A8"/>
                <w:sz w:val="18"/>
                <w:szCs w:val="18"/>
              </w:rPr>
              <w:t xml:space="preserve">Fecha</w:t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[DD/MM/AAAA]</w:t>
            </w:r>
          </w:p>
        </w:tc>
      </w:tr>
    </w:tbl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B4A8"/>
                <w:sz w:val="18"/>
                <w:szCs w:val="18"/>
              </w:rPr>
              <w:t xml:space="preserve">Vigencia</w:t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30 días desde la fecha de emisión</w:t>
            </w:r>
          </w:p>
        </w:tc>
      </w:tr>
    </w:tbl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B4A8"/>
                <w:sz w:val="18"/>
                <w:szCs w:val="18"/>
              </w:rPr>
              <w:t xml:space="preserve">Referencia</w:t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PROP-2026-[NNN]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B4A8"/>
          <w:spacing w:val="80"/>
          <w:sz w:val="18"/>
          <w:szCs w:val="18"/>
        </w:rPr>
        <w:t xml:space="preserve">01 · CONTEXTO REGULATORIO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80C1F"/>
          <w:sz w:val="40"/>
          <w:szCs w:val="40"/>
        </w:rPr>
        <w:t xml:space="preserve">La Ley 21.719 ya no es una opción</w:t>
      </w:r>
    </w:p>
    <w:p>
      <w:pPr>
        <w:pBdr>
          <w:bottom w:val="single" w:color="00B4A8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Publicada en el Diario Oficial el 13 de diciembre de 2024, la Ley 21.719 de Protección de Datos Personales entra en plena vigencia el 1 de diciembre de 2026. Reforma íntegramente la Ley 19.628 de 1999 y crea la Agencia de Protección de Datos Personales (APDP) como organismo autónomo con facultades reales de fiscalización y sanción.</w:t>
      </w:r>
    </w:p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La ley aplica a toda organización que trate datos personales de personas en Chile, sin importar su tamaño, rubro ni si tiene domicilio en el país. Su incumplimiento activa cuatro dimensiones de riesgo simultáneamente: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⚠ Reputacional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B21B6"/>
                <w:sz w:val="18"/>
                <w:szCs w:val="18"/>
              </w:rPr>
              <w:t xml:space="preserve">Pérdida de confianza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B21B6"/>
                <w:sz w:val="18"/>
                <w:szCs w:val="18"/>
              </w:rPr>
              <w:t xml:space="preserve">Cobertura mediática negativa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B21B6"/>
                <w:sz w:val="18"/>
                <w:szCs w:val="18"/>
              </w:rPr>
              <w:t xml:space="preserve">Uso como argumento por competidores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⚖ Legal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Multas hasta 20.000 UTM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4% ingresos en reincidencia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Sanción publicada 5 años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⚙ Operacional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Suspensión tratamiento 30 días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Detención sistemas críticos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Auditorías forzadas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💰 Financiero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Compensaciones a afectados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Costo de remediación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Pérdida de contratos B2B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La Agencia ya está operativa con funcionamiento adelantado. Desde diciembre de 2026, las organizaciones deben poder demostrar cumplimiento con evidencia concreta: logs, contratos, registros, capacitaciones. No basta con tener una política publicada.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B4A8"/>
          <w:spacing w:val="80"/>
          <w:sz w:val="18"/>
          <w:szCs w:val="18"/>
        </w:rPr>
        <w:t xml:space="preserve">02 · EL PROBLEMA QUE RESOLVEMOS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80C1F"/>
          <w:sz w:val="40"/>
          <w:szCs w:val="40"/>
        </w:rPr>
        <w:t xml:space="preserve">La brecha entre donde están y donde deben estar</w:t>
      </w:r>
    </w:p>
    <w:p>
      <w:pPr>
        <w:pBdr>
          <w:bottom w:val="single" w:color="00B4A8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La mayoría de las organizaciones chilenas presenta una brecha significativa entre su estado actual de manejo de datos y los requisitos de la Ley 21.719. Esta brecha se manifiesta en cinco áreas críticas: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080C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080C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típico hoy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080C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Ley 21.719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Inventario de datos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⚠ Desconocido o parcial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 RAT documentado y actualizado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Consentimientos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⚠ Implícitos o genéricos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 Explícitos, granulares y trazables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Contratos proveedores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⚠ Sin cláusulas DPA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 DPA firmado con cada encargado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Canal ARCOP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⚠ Inexistente o informal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 Operativo 24/7, plazo 30 días hábiles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Controles técnicos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⚠ Básicos o ausentes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 MFA, cifrado AES-256, logs 5 años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Protocolo de brechas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⚠ Sin definir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 Documentado y probado: 72 horas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⚠ Sin registro formal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✓ Anual, documentada, con evidencia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Cerrar esta brecha requiere trabajo coordinado entre áreas legales, tecnológicas y operacionales. ShellTI integra los tres perfiles en un equipo único orientado a resultados demostrables.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B4A8"/>
          <w:spacing w:val="80"/>
          <w:sz w:val="18"/>
          <w:szCs w:val="18"/>
        </w:rPr>
        <w:t xml:space="preserve">03 · NUESTRA PROPUESTA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80C1F"/>
          <w:sz w:val="40"/>
          <w:szCs w:val="40"/>
        </w:rPr>
        <w:t xml:space="preserve">Cuatro servicios. Un camino completo.</w:t>
      </w:r>
    </w:p>
    <w:p>
      <w:pPr>
        <w:pBdr>
          <w:bottom w:val="single" w:color="00B4A8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ShellTI no vende documentos. Acompañamos a su organización desde el diagnóstico hasta la evidencia operativa que la Agencia puede requerir en cualquier momento. Cada servicio está diseñado para producir un resultado concreto y verificable.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00B4A8" w:sz="6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80C1F"/>
                <w:sz w:val="26"/>
                <w:szCs w:val="26"/>
              </w:rPr>
              <w:t xml:space="preserve">Diagnóstico GAP  </w:t>
            </w:r>
            <w:r>
              <w:rPr>
                <w:rFonts w:ascii="Arial" w:cs="Arial" w:eastAsia="Arial" w:hAnsi="Arial"/>
                <w:b/>
                <w:bCs/>
                <w:color w:val="00B4A8"/>
                <w:sz w:val="16"/>
                <w:szCs w:val="16"/>
              </w:rPr>
              <w:t xml:space="preserve">ENTREGABLE: Informe GAP + Roadmap personalizado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Evaluación completa del estado de cumplimiento de su organización frente a la Ley 21.719.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Inventario de datos personales por sistema y proceso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Evaluación de brechas vs. requisitos legales y DS 662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Score de madurez de cumplimiento por área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Identificación de riesgos prioritarios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Informe ejecutivo + plan de implementación priorizado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00B4A8" w:sz="6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80C1F"/>
                <w:sz w:val="26"/>
                <w:szCs w:val="26"/>
              </w:rPr>
              <w:t xml:space="preserve">Implementación por fases  </w:t>
            </w:r>
            <w:r>
              <w:rPr>
                <w:rFonts w:ascii="Arial" w:cs="Arial" w:eastAsia="Arial" w:hAnsi="Arial"/>
                <w:b/>
                <w:bCs/>
                <w:color w:val="00B4A8"/>
                <w:sz w:val="16"/>
                <w:szCs w:val="16"/>
              </w:rPr>
              <w:t xml:space="preserve">ENTREGABLE: Evidencias operativas auditables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Cierre de brechas en fases de 30 días, sin paralizar la operación del negocio.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Política de tratamiento de datos conforme a la ley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Registro de Actividades de Tratamiento (RAT)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Contratos DPA con proveedores y encargados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Canal ARCOP operativo con protocolo documentado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Controles técnicos: MFA, cifrado, logs de auditoría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Protocolo de notificación de brechas en 72 horas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00B4A8" w:sz="6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80C1F"/>
                <w:sz w:val="26"/>
                <w:szCs w:val="26"/>
              </w:rPr>
              <w:t xml:space="preserve">EPD como servicio  </w:t>
            </w:r>
            <w:r>
              <w:rPr>
                <w:rFonts w:ascii="Arial" w:cs="Arial" w:eastAsia="Arial" w:hAnsi="Arial"/>
                <w:b/>
                <w:bCs/>
                <w:color w:val="00B4A8"/>
                <w:sz w:val="16"/>
                <w:szCs w:val="16"/>
              </w:rPr>
              <w:t xml:space="preserve">ENTREGABLE: EPD activo + informes mensuales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Actuamos como su Encargado de Protección de Datos (EPD/DPO) ante la Agencia y sus titulares.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Designación formal como EPD de la organización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Supervisión continua del cumplimiento normativo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Atención de requerimientos de la APDP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Gestión de solicitudes ARCOP complejas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Informes periódicos a la alta dirección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Actualización ante cambios regulatorios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00B4A8" w:sz="6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80C1F"/>
                <w:sz w:val="26"/>
                <w:szCs w:val="26"/>
              </w:rPr>
              <w:t xml:space="preserve">Capacitación certificada  </w:t>
            </w:r>
            <w:r>
              <w:rPr>
                <w:rFonts w:ascii="Arial" w:cs="Arial" w:eastAsia="Arial" w:hAnsi="Arial"/>
                <w:b/>
                <w:bCs/>
                <w:color w:val="00B4A8"/>
                <w:sz w:val="16"/>
                <w:szCs w:val="16"/>
              </w:rPr>
              <w:t xml:space="preserve">ENTREGABLE: Certificados + registro de evidencia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Formación documentada para que su equipo comprenda y aplique la ley en su trabajo diario.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Taller presencial o remoto para todo el 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Módulos específicos: RRHH, ventas, tecnología, dirección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Registro de asistencia y evaluación por participante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Certificado individual de capacitación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Material de apoyo y guías de referencia rápida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B4A8"/>
          <w:spacing w:val="80"/>
          <w:sz w:val="18"/>
          <w:szCs w:val="18"/>
        </w:rPr>
        <w:t xml:space="preserve">04 · PLAN DE TRABAJO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80C1F"/>
          <w:sz w:val="40"/>
          <w:szCs w:val="40"/>
        </w:rPr>
        <w:t xml:space="preserve">Roadmap hacia diciembre 2026</w:t>
      </w:r>
    </w:p>
    <w:p>
      <w:pPr>
        <w:pBdr>
          <w:bottom w:val="single" w:color="00B4A8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El proceso de adecuación se estructura en 6 fases secuenciales. Cada fase tiene un entregable verificable que sirve como evidencia ante la Agencia. Las fases pueden adaptarse al calendario y recursos de su organización.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00B4A8" w:sz="4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600"/>
        <w:gridCol w:w="2100"/>
        <w:gridCol w:w="66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80C1F"/>
                <w:sz w:val="22"/>
                <w:szCs w:val="22"/>
              </w:rPr>
              <w:t xml:space="preserve">Diagnóstico GAP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B4A8"/>
                <w:sz w:val="18"/>
                <w:szCs w:val="18"/>
              </w:rPr>
              <w:t xml:space="preserve">Semanas 1–4</w:t>
            </w:r>
          </w:p>
        </w:tc>
        <w:tc>
          <w:tcPr>
            <w:tcW w:type="dxa" w:w="66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Inventario de datos personales por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Evaluación de brechas vs. Ley 21.719 y DS 662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Score de madurez y riesgos prioritarios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Entregable: Informe GAP + roadmap personalizado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00B4D8" w:sz="4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600"/>
        <w:gridCol w:w="2100"/>
        <w:gridCol w:w="66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80C1F"/>
                <w:sz w:val="22"/>
                <w:szCs w:val="22"/>
              </w:rPr>
              <w:t xml:space="preserve">Fundamentos legales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Meses 2–3</w:t>
            </w:r>
          </w:p>
        </w:tc>
        <w:tc>
          <w:tcPr>
            <w:tcW w:type="dxa" w:w="66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Política de tratamiento de datos actualizada y publicada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EPD designado formalmente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Registro de Actividades de Tratamiento (RAT) inicial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Entregable: Política + RAT + designación EPD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8B5CF6" w:sz="4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600"/>
        <w:gridCol w:w="2100"/>
        <w:gridCol w:w="66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80C1F"/>
                <w:sz w:val="22"/>
                <w:szCs w:val="22"/>
              </w:rPr>
              <w:t xml:space="preserve">Contratos DPA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Mes 3–4</w:t>
            </w:r>
          </w:p>
        </w:tc>
        <w:tc>
          <w:tcPr>
            <w:tcW w:type="dxa" w:w="66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Inventario de proveedores que tratan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DPA firmado con el 100% de encargados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Revisión de cláusulas de transferencias internacionales (TIDP)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Entregable: Contratos DPA firmados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D97706" w:sz="4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600"/>
        <w:gridCol w:w="2100"/>
        <w:gridCol w:w="66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80C1F"/>
                <w:sz w:val="22"/>
                <w:szCs w:val="22"/>
              </w:rPr>
              <w:t xml:space="preserve">Controles técnicos DS 662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Mes 4–5</w:t>
            </w:r>
          </w:p>
        </w:tc>
        <w:tc>
          <w:tcPr>
            <w:tcW w:type="dxa" w:w="66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MFA en todos los sistemas con datos personales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Cifrado en reposo (AES-256) y en tránsito (TLS 1.3)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Logs de auditoría habilitados con retención 5 años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Canal ARCOP técnico operativo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Entregable: Controles implementados y documentados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15803D" w:sz="4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600"/>
        <w:gridCol w:w="2100"/>
        <w:gridCol w:w="66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80C1F"/>
                <w:sz w:val="22"/>
                <w:szCs w:val="22"/>
              </w:rPr>
              <w:t xml:space="preserve">Capacitación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Mes 5</w:t>
            </w:r>
          </w:p>
        </w:tc>
        <w:tc>
          <w:tcPr>
            <w:tcW w:type="dxa" w:w="66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Talleres para 100% del personal con acceso a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Módulos por rol: RRHH, ventas, TI, dirección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Evaluación y certificación individual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Entregable: Registro + certificados de capacitación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080C1F" w:sz="4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600"/>
        <w:gridCol w:w="2100"/>
        <w:gridCol w:w="66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80C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80C1F"/>
                <w:sz w:val="22"/>
                <w:szCs w:val="22"/>
              </w:rPr>
              <w:t xml:space="preserve">Auditoría y cierre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0C1F"/>
                <w:sz w:val="18"/>
                <w:szCs w:val="18"/>
              </w:rPr>
              <w:t xml:space="preserve">Mes 6</w:t>
            </w:r>
          </w:p>
        </w:tc>
        <w:tc>
          <w:tcPr>
            <w:tcW w:type="dxa" w:w="66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Auditoría interna de cumplimiento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Declaración formal del EPD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Corrección de brechas residuales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Entregable: Informe de auditoría + declaración EPD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B4A8"/>
          <w:spacing w:val="80"/>
          <w:sz w:val="18"/>
          <w:szCs w:val="18"/>
        </w:rPr>
        <w:t xml:space="preserve">05 · POR QUÉ SHELLTI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80C1F"/>
          <w:sz w:val="40"/>
          <w:szCs w:val="40"/>
        </w:rPr>
        <w:t xml:space="preserve">Compliance que se puede demostrar</w:t>
      </w:r>
    </w:p>
    <w:p>
      <w:pPr>
        <w:pBdr>
          <w:bottom w:val="single" w:color="00B4A8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0B4A8"/>
                <w:sz w:val="22"/>
                <w:szCs w:val="22"/>
              </w:rPr>
              <w:t xml:space="preserve">Equipo multidisciplinario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Integramos perfiles legales, técnicos y de gestión en un mismo equipo. La adecuación a la Ley 21.719 no puede hacerse solo desde lo legal ni solo desde TI — requiere los tres en coordinación.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0B4A8"/>
                <w:sz w:val="22"/>
                <w:szCs w:val="22"/>
              </w:rPr>
              <w:t xml:space="preserve">Foco en evidencia operativa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No entregamos documentos que quedan en un cajón. Construimos evidencia que funciona cuando la Agencia fiscaliza: logs datados, contratos firmados, capacitaciones registradas.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0B4A8"/>
                <w:sz w:val="22"/>
                <w:szCs w:val="22"/>
              </w:rPr>
              <w:t xml:space="preserve">Escalable según su tamaño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Trabajamos con PYMEs y empresas medianas con la misma rigurosidad. Los servicios se dimensionan al volumen de datos, sistemas y presupuesto de cada organización.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0B4A8"/>
                <w:sz w:val="22"/>
                <w:szCs w:val="22"/>
              </w:rPr>
              <w:t xml:space="preserve">Continuidad post-implementación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El cumplimiento no termina en diciembre 2026. El servicio de EPD y el monitoreo continuo aseguran que su organización mantenga el estándar ante cambios regulatorios y nuevos requerimientos.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B4A8"/>
          <w:sz w:val="28"/>
          <w:szCs w:val="28"/>
        </w:rPr>
        <w:t xml:space="preserve">Marco técnico de referencia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La propuesta se basa en el mismo marco que la presentación técnica de ShellTI y contempla el cumplimiento coordinado de: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Marco Legal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Ley 21.719 — todos los artículos aplicables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Decreto Supremo N° 662 — controles técnicos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Transferencias internacionales (TIDP/CCM)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Evaluación de impacto DPIA/EIPD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Marco Técnico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ISO/IEC 27001:2022 — seguridad demostrable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MFA + cifrado AES-256 + TLS 1.3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Logs de auditoría 5 años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Gestión de identidad y acceso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0C1F"/>
                <w:sz w:val="20"/>
                <w:szCs w:val="20"/>
              </w:rPr>
              <w:t xml:space="preserve">Marco Operacional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Ley Marco de Ciberseguridad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Canal ARCOP con trazabilidad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Protocolo de brechas 72 horas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Registro de actividades (RAT)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B4A8"/>
          <w:spacing w:val="80"/>
          <w:sz w:val="18"/>
          <w:szCs w:val="18"/>
        </w:rPr>
        <w:t xml:space="preserve">06 · PRÓXIMOS PASOS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80C1F"/>
          <w:sz w:val="40"/>
          <w:szCs w:val="40"/>
        </w:rPr>
        <w:t xml:space="preserve">Cómo avanzar</w:t>
      </w:r>
    </w:p>
    <w:p>
      <w:pPr>
        <w:pBdr>
          <w:bottom w:val="single" w:color="00B4A8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Revisión de la propuesta por parte de su equipo y resolución de consultas con nuestro equipo.</w:t>
            </w:r>
          </w:p>
        </w:tc>
      </w:tr>
      <w:tr>
        <w:tc>
          <w:tcPr>
            <w:tcW w:type="dxa" w:w="5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Reunión de alineamiento (presencial o remota) para ajustar alcance, fases y calendario según su realidad organizacional.</w:t>
            </w:r>
          </w:p>
        </w:tc>
      </w:tr>
      <w:tr>
        <w:tc>
          <w:tcPr>
            <w:tcW w:type="dxa" w:w="5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Firma de Acuerdo Marco de Servicios (AMS) con cláusulas de confidencialidad y protección de datos.</w:t>
            </w:r>
          </w:p>
        </w:tc>
      </w:tr>
      <w:tr>
        <w:tc>
          <w:tcPr>
            <w:tcW w:type="dxa" w:w="520"/>
            <w:tcBorders>
              <w:top w:val="none" w:sz="0"/>
              <w:left w:val="none" w:sz="0"/>
              <w:bottom w:val="none" w:sz="0"/>
              <w:right w:val="none" w:sz="0"/>
            </w:tcBorders>
            <w:shd w:fill="00B4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Kick-off del Diagnóstico GAP — primera entrega en 4 semanas.</w:t>
            </w:r>
          </w:p>
        </w:tc>
      </w:tr>
    </w:tbl>
    <w:p>
      <w:pPr>
        <w:spacing w:after="0" w:before="640"/>
      </w:pPr>
      <w:r>
        <w:t xml:space="preserve"/>
      </w:r>
    </w:p>
    <w:p>
      <w:pPr>
        <w:pBdr>
          <w:bottom w:val="single" w:color="00B4A8" w:sz="6" w:space="1"/>
        </w:pBdr>
        <w:spacing w:after="120" w:before="0"/>
      </w:pPr>
      <w:r>
        <w:t xml:space="preserve"/>
      </w:r>
    </w:p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80C1F"/>
          <w:sz w:val="32"/>
          <w:szCs w:val="32"/>
        </w:rPr>
        <w:t xml:space="preserve">Diciembre 2026 se acerca.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334155"/>
          <w:sz w:val="24"/>
          <w:szCs w:val="24"/>
        </w:rPr>
        <w:t xml:space="preserve">El mejor momento para empezar fue ayer. El segundo mejor momento es hoy.</w:t>
      </w:r>
    </w:p>
    <w:tbl>
      <w:tblPr>
        <w:tblW w:type="dxa" w:w="9360"/>
        <w:tblBorders>
          <w:top w:val="single" w:color="00B4A8" w:sz="6"/>
          <w:left w:val="none" w:sz="0"/>
          <w:bottom w:val="single" w:color="E2E8F0" w:sz="2"/>
          <w:right w:val="none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80C1F"/>
                <w:sz w:val="24"/>
                <w:szCs w:val="24"/>
              </w:rPr>
              <w:t xml:space="preserve">ShellTI Technology Consultancy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0B4A8"/>
                <w:sz w:val="20"/>
                <w:szCs w:val="20"/>
              </w:rPr>
              <w:t xml:space="preserve">www.shellti.com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B4A8"/>
                <w:sz w:val="20"/>
                <w:szCs w:val="20"/>
              </w:rPr>
              <w:t xml:space="preserve">contacto@shellti.com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Esta propuesta tiene vigencia de 30 días desde su emisión. Los servicios están sujetos a disponibilidad de agenda y firma de AMS.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A8" w:sz="4" w:space="6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ShellTI Technology Consultancy  ·  www.shellti.com  ·  contacto@shellti.com</w:t>
    </w:r>
    <w:r>
      <w:rPr>
        <w:rFonts w:ascii="Arial" w:cs="Arial" w:eastAsia="Arial" w:hAnsi="Arial"/>
        <w:color w:val="64748B"/>
        <w:sz w:val="16"/>
        <w:szCs w:val="16"/>
      </w:rPr>
      <w:t xml:space="preserve">          </w:t>
    </w: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80C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0C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2026-06-18T18:42:09.763Z</dcterms:created>
  <dcterms:modified xsi:type="dcterms:W3CDTF">2026-06-18T18:42:09.763Z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