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Taxonomia Mestre do Mapa da Noite — V1.1</w:t>
      </w:r>
    </w:p>
    <w:p/>
    <w:p>
      <w:pPr>
        <w:pStyle w:val="Heading1"/>
      </w:pPr>
      <w:r>
        <w:t xml:space="preserve">1. Definição oficial</w:t>
      </w:r>
    </w:p>
    <w:p/>
    <w:p>
      <w:pPr>
        <w:pStyle w:val="BodyText"/>
      </w:pPr>
      <w:r>
        <w:t xml:space="preserve">A Taxonomia Mestre do Mapa da Noite é a etapa fundamental e prioritária que organiza as categorias, regras, vocabulários, referências e limites interpretativos do projeto. Ela orienta a leitura dos comentários públicos antes da classificação, garantindo que manifestações espontâneas sejam transformadas em evidências organizadas, comparáveis, auditáveis e acionáveis, sem superinterpretação, sem apagamento de contexto cultural e sem desalinhamento entre dado, impacto e recomendação.</w:t>
      </w:r>
    </w:p>
    <w:p/>
    <w:p>
      <w:pPr>
        <w:pStyle w:val="Heading1"/>
      </w:pPr>
      <w:r>
        <w:t xml:space="preserve">2. Objetivo da taxonomia</w:t>
      </w:r>
    </w:p>
    <w:p/>
    <w:p>
      <w:pPr>
        <w:pStyle w:val="BodyText"/>
      </w:pPr>
      <w:r>
        <w:t xml:space="preserve">A Taxonomia Mestre tem como objetivo padronizar a leitura dos comentários públicos, reduzir subjetividade, orientar a classificação, preservar contexto sociocultural, impedir leitura literal de gírias da cena, diferenciar percepção localizada de padrão coletivo e garantir que recomendações sejam aderentes às evidências.</w:t>
      </w:r>
    </w:p>
    <w:p/>
    <w:p>
      <w:pPr>
        <w:pStyle w:val="BodyText"/>
      </w:pPr>
      <w:r>
        <w:t xml:space="preserve">Ela também define limites interpretativos para impedir que manifestações ambíguas, irônicas, performativas ou culturalmente situadas sejam lidas fora de contexto. A taxonomia protege a relação entre comentário, categoria, polaridade, impacto, recomendação e resolução, garantindo que cada etapa permaneça vinculada ao dado original e à validação humana quando necessária.</w:t>
      </w:r>
    </w:p>
    <w:p/>
    <w:p>
      <w:pPr>
        <w:pStyle w:val="Heading1"/>
      </w:pPr>
      <w:r>
        <w:t xml:space="preserve">3. Função da taxonomia dentro do processo</w:t>
      </w:r>
    </w:p>
    <w:p/>
    <w:p>
      <w:pPr>
        <w:pStyle w:val="BodyText"/>
      </w:pPr>
      <w:r>
        <w:t xml:space="preserve">A Taxonomia Mestre atua antes da classificação e orienta todo o processo metodológico. Ela serve como camada de referência para:</w:t>
      </w:r>
    </w:p>
    <w:p/>
    <w:p>
      <w:pPr>
        <w:pStyle w:val="BodyText"/>
      </w:pPr>
      <w:r>
        <w:t xml:space="preserve">• planejamento da escuta;</w:t>
      </w:r>
    </w:p>
    <w:p>
      <w:pPr>
        <w:pStyle w:val="BodyText"/>
      </w:pPr>
      <w:r>
        <w:t xml:space="preserve">• coleta;</w:t>
      </w:r>
    </w:p>
    <w:p>
      <w:pPr>
        <w:pStyle w:val="BodyText"/>
      </w:pPr>
      <w:r>
        <w:t xml:space="preserve">• limpeza;</w:t>
      </w:r>
    </w:p>
    <w:p>
      <w:pPr>
        <w:pStyle w:val="BodyText"/>
      </w:pPr>
      <w:r>
        <w:t xml:space="preserve">• classificação;</w:t>
      </w:r>
    </w:p>
    <w:p>
      <w:pPr>
        <w:pStyle w:val="BodyText"/>
      </w:pPr>
      <w:r>
        <w:t xml:space="preserve">• leitura sociocultural;</w:t>
      </w:r>
    </w:p>
    <w:p>
      <w:pPr>
        <w:pStyle w:val="BodyText"/>
      </w:pPr>
      <w:r>
        <w:t xml:space="preserve">• identificação de padrões;</w:t>
      </w:r>
    </w:p>
    <w:p>
      <w:pPr>
        <w:pStyle w:val="BodyText"/>
      </w:pPr>
      <w:r>
        <w:t xml:space="preserve">• mentoria analítica dos AGENTES 1 e 2;</w:t>
      </w:r>
    </w:p>
    <w:p>
      <w:pPr>
        <w:pStyle w:val="BodyText"/>
      </w:pPr>
      <w:r>
        <w:t xml:space="preserve">• avaliação de impacto;</w:t>
      </w:r>
    </w:p>
    <w:p>
      <w:pPr>
        <w:pStyle w:val="BodyText"/>
      </w:pPr>
      <w:r>
        <w:t xml:space="preserve">• priorização;</w:t>
      </w:r>
    </w:p>
    <w:p>
      <w:pPr>
        <w:pStyle w:val="BodyText"/>
      </w:pPr>
      <w:r>
        <w:t xml:space="preserve">• recomendações;</w:t>
      </w:r>
    </w:p>
    <w:p>
      <w:pPr>
        <w:pStyle w:val="BodyText"/>
      </w:pPr>
      <w:r>
        <w:t xml:space="preserve">• matriz resolutiva;</w:t>
      </w:r>
    </w:p>
    <w:p>
      <w:pPr>
        <w:pStyle w:val="BodyText"/>
      </w:pPr>
      <w:r>
        <w:t xml:space="preserve">• painel interno;</w:t>
      </w:r>
    </w:p>
    <w:p>
      <w:pPr>
        <w:pStyle w:val="BodyText"/>
      </w:pPr>
      <w:r>
        <w:t xml:space="preserve">• painel público;</w:t>
      </w:r>
    </w:p>
    <w:p>
      <w:pPr>
        <w:pStyle w:val="BodyText"/>
      </w:pPr>
      <w:r>
        <w:t xml:space="preserve">• aprendizado metodológico.</w:t>
      </w:r>
    </w:p>
    <w:p/>
    <w:p>
      <w:pPr>
        <w:pStyle w:val="BodyText"/>
      </w:pPr>
      <w:r>
        <w:t xml:space="preserve">Sua função é organizar a interpretação antes que qualquer comentário seja transformado em evidência analítica, reduzindo decisões improvisadas e evitando que categorias, polaridades ou resoluções sejam geradas sem aderência ao contexto.</w:t>
      </w:r>
    </w:p>
    <w:p/>
    <w:p>
      <w:pPr>
        <w:pStyle w:val="Heading1"/>
      </w:pPr>
      <w:r>
        <w:t xml:space="preserve">4. Posição da taxonomia no fluxo do projeto</w:t>
      </w:r>
    </w:p>
    <w:p/>
    <w:p>
      <w:pPr>
        <w:pStyle w:val="BodyText"/>
      </w:pPr>
      <w:r>
        <w:t xml:space="preserve">A Taxonomia Mestre passa a ser etapa fundamental e prioritária do processo, posicionada antes da classificação dos comentários.</w:t>
      </w:r>
    </w:p>
    <w:p/>
    <w:p>
      <w:pPr>
        <w:pStyle w:val="BodyText"/>
      </w:pPr>
      <w:r>
        <w:t xml:space="preserve">Fluxo atualizado:</w:t>
      </w:r>
    </w:p>
    <w:p/>
    <w:p>
      <w:pPr>
        <w:pStyle w:val="BodyText"/>
      </w:pPr>
      <w:r>
        <w:t xml:space="preserve">Taxonomia Mestre</w:t>
      </w:r>
    </w:p>
    <w:p>
      <w:pPr>
        <w:pStyle w:val="BodyText"/>
      </w:pPr>
      <w:r>
        <w:t xml:space="preserve">→ Planejamento da escuta</w:t>
      </w:r>
    </w:p>
    <w:p>
      <w:pPr>
        <w:pStyle w:val="BodyText"/>
      </w:pPr>
      <w:r>
        <w:t xml:space="preserve">→ Coleta dos comentários públicos</w:t>
      </w:r>
    </w:p>
    <w:p>
      <w:pPr>
        <w:pStyle w:val="BodyText"/>
      </w:pPr>
      <w:r>
        <w:t xml:space="preserve">→ Padronização e organização por lote</w:t>
      </w:r>
    </w:p>
    <w:p>
      <w:pPr>
        <w:pStyle w:val="BodyText"/>
      </w:pPr>
      <w:r>
        <w:t xml:space="preserve">→ Limpeza da base</w:t>
      </w:r>
    </w:p>
    <w:p>
      <w:pPr>
        <w:pStyle w:val="BodyText"/>
      </w:pPr>
      <w:r>
        <w:t xml:space="preserve">→ Classificação inicial</w:t>
      </w:r>
    </w:p>
    <w:p>
      <w:pPr>
        <w:pStyle w:val="BodyText"/>
      </w:pPr>
      <w:r>
        <w:t xml:space="preserve">→ Leitura sociocultural e contextual</w:t>
      </w:r>
    </w:p>
    <w:p>
      <w:pPr>
        <w:pStyle w:val="BodyText"/>
      </w:pPr>
      <w:r>
        <w:t xml:space="preserve">→ Identificação de padrões e recorrências</w:t>
      </w:r>
    </w:p>
    <w:p>
      <w:pPr>
        <w:pStyle w:val="BodyText"/>
      </w:pPr>
      <w:r>
        <w:t xml:space="preserve">→ Mentoria Analítica dos AGENTES 1 e 2</w:t>
      </w:r>
    </w:p>
    <w:p>
      <w:pPr>
        <w:pStyle w:val="BodyText"/>
      </w:pPr>
      <w:r>
        <w:t xml:space="preserve">→ Avaliação de impacto percebido</w:t>
      </w:r>
    </w:p>
    <w:p>
      <w:pPr>
        <w:pStyle w:val="BodyText"/>
      </w:pPr>
      <w:r>
        <w:t xml:space="preserve">→ Priorização</w:t>
      </w:r>
    </w:p>
    <w:p>
      <w:pPr>
        <w:pStyle w:val="BodyText"/>
      </w:pPr>
      <w:r>
        <w:t xml:space="preserve">→ Recomendações e resoluções</w:t>
      </w:r>
    </w:p>
    <w:p>
      <w:pPr>
        <w:pStyle w:val="BodyText"/>
      </w:pPr>
      <w:r>
        <w:t xml:space="preserve">→ Matriz resolutiva</w:t>
      </w:r>
    </w:p>
    <w:p>
      <w:pPr>
        <w:pStyle w:val="BodyText"/>
      </w:pPr>
      <w:r>
        <w:t xml:space="preserve">→ Validação humana</w:t>
      </w:r>
    </w:p>
    <w:p>
      <w:pPr>
        <w:pStyle w:val="BodyText"/>
      </w:pPr>
      <w:r>
        <w:t xml:space="preserve">→ Painel interno</w:t>
      </w:r>
    </w:p>
    <w:p>
      <w:pPr>
        <w:pStyle w:val="BodyText"/>
      </w:pPr>
      <w:r>
        <w:t xml:space="preserve">→ Painel público</w:t>
      </w:r>
    </w:p>
    <w:p>
      <w:pPr>
        <w:pStyle w:val="BodyText"/>
      </w:pPr>
      <w:r>
        <w:t xml:space="preserve">→ Aprendizado metodológico</w:t>
      </w:r>
    </w:p>
    <w:p/>
    <w:p>
      <w:pPr>
        <w:pStyle w:val="Heading1"/>
      </w:pPr>
      <w:r>
        <w:t xml:space="preserve">5. Frentes oficiais da Taxonomia Mestre</w:t>
      </w:r>
    </w:p>
    <w:p/>
    <w:p>
      <w:pPr>
        <w:pStyle w:val="Heading2"/>
      </w:pPr>
      <w:r>
        <w:t xml:space="preserve">5.1 Sociocultural e linguística</w:t>
      </w:r>
    </w:p>
    <w:p/>
    <w:p>
      <w:pPr>
        <w:pStyle w:val="BodyText"/>
      </w:pPr>
      <w:r>
        <w:t xml:space="preserve">Abrange Pajubá, gírias LGBTQIA+, linguagem da cena, ironia, pertencimento, status, performance social, close, carão, yag, hype, pista, after, lacração, dar close, festa saturada, linguagem performativa e capital simbólico.</w:t>
      </w:r>
    </w:p>
    <w:p/>
    <w:p>
      <w:pPr>
        <w:pStyle w:val="BodyText"/>
      </w:pPr>
      <w:r>
        <w:t xml:space="preserve">Referências:</w:t>
      </w:r>
    </w:p>
    <w:p/>
    <w:p>
      <w:pPr>
        <w:pStyle w:val="BodyText"/>
      </w:pPr>
      <w:r>
        <w:t xml:space="preserve">• Aurélia: a Dicionária da Língua Afiada / Aurélia: a Dicionária Antidicionarizada;</w:t>
      </w:r>
    </w:p>
    <w:p>
      <w:pPr>
        <w:pStyle w:val="BodyText"/>
      </w:pPr>
      <w:r>
        <w:t xml:space="preserve">• Pequeno Vocabulário Pajubá Palmense;</w:t>
      </w:r>
    </w:p>
    <w:p>
      <w:pPr>
        <w:pStyle w:val="BodyText"/>
      </w:pPr>
      <w:r>
        <w:t xml:space="preserve">• Fabulosas;</w:t>
      </w:r>
    </w:p>
    <w:p>
      <w:pPr>
        <w:pStyle w:val="BodyText"/>
      </w:pPr>
      <w:r>
        <w:t xml:space="preserve">• A Língua de Eulália;</w:t>
      </w:r>
    </w:p>
    <w:p>
      <w:pPr>
        <w:pStyle w:val="BodyText"/>
      </w:pPr>
      <w:r>
        <w:t xml:space="preserve">• estudos de variação sociolinguística.</w:t>
      </w:r>
    </w:p>
    <w:p/>
    <w:p>
      <w:pPr>
        <w:pStyle w:val="BodyText"/>
      </w:pPr>
      <w:r>
        <w:t xml:space="preserve">Regras:</w:t>
      </w:r>
    </w:p>
    <w:p/>
    <w:p>
      <w:pPr>
        <w:pStyle w:val="BodyText"/>
      </w:pPr>
      <w:r>
        <w:t xml:space="preserve">• não interpretar gírias literalmente;</w:t>
      </w:r>
    </w:p>
    <w:p>
      <w:pPr>
        <w:pStyle w:val="BodyText"/>
      </w:pPr>
      <w:r>
        <w:t xml:space="preserve">• não tratar vocabulário da cena como ruído;</w:t>
      </w:r>
    </w:p>
    <w:p>
      <w:pPr>
        <w:pStyle w:val="BodyText"/>
      </w:pPr>
      <w:r>
        <w:t xml:space="preserve">• não transformar percepção subjetiva em diagnóstico estrutural sem recorrência;</w:t>
      </w:r>
    </w:p>
    <w:p>
      <w:pPr>
        <w:pStyle w:val="BodyText"/>
      </w:pPr>
      <w:r>
        <w:t xml:space="preserve">• exigir validação humana em casos ambíguos.</w:t>
      </w:r>
    </w:p>
    <w:p/>
    <w:p>
      <w:pPr>
        <w:pStyle w:val="Heading2"/>
      </w:pPr>
      <w:r>
        <w:t xml:space="preserve">5.2 Saúde, segurança e redução de danos</w:t>
      </w:r>
    </w:p>
    <w:p/>
    <w:p>
      <w:pPr>
        <w:pStyle w:val="BodyText"/>
      </w:pPr>
      <w:r>
        <w:t xml:space="preserve">Abrange cuidado, vulnerabilidade, uso de substâncias, álcool, chemsex, consentimento, prevenção combinada, acolhimento, crise, mal-estar, hidratação, calor, superlotação, acesso a água, posto médico, staff preparado, segurança e práticas de cuidado.</w:t>
      </w:r>
    </w:p>
    <w:p/>
    <w:p>
      <w:pPr>
        <w:pStyle w:val="BodyText"/>
      </w:pPr>
      <w:r>
        <w:t xml:space="preserve">Referências:</w:t>
      </w:r>
    </w:p>
    <w:p/>
    <w:p>
      <w:pPr>
        <w:pStyle w:val="BodyText"/>
      </w:pPr>
      <w:r>
        <w:t xml:space="preserve">• Ministério da Saúde/DATHI;</w:t>
      </w:r>
    </w:p>
    <w:p>
      <w:pPr>
        <w:pStyle w:val="BodyText"/>
      </w:pPr>
      <w:r>
        <w:t xml:space="preserve">• CRT-SP;</w:t>
      </w:r>
    </w:p>
    <w:p>
      <w:pPr>
        <w:pStyle w:val="BodyText"/>
      </w:pPr>
      <w:r>
        <w:t xml:space="preserve">• UNAIDS;</w:t>
      </w:r>
    </w:p>
    <w:p>
      <w:pPr>
        <w:pStyle w:val="BodyText"/>
      </w:pPr>
      <w:r>
        <w:t xml:space="preserve">• OMS;</w:t>
      </w:r>
    </w:p>
    <w:p>
      <w:pPr>
        <w:pStyle w:val="BodyText"/>
      </w:pPr>
      <w:r>
        <w:t xml:space="preserve">• Cadernos de Saúde Pública/Fiocruz;</w:t>
      </w:r>
    </w:p>
    <w:p>
      <w:pPr>
        <w:pStyle w:val="BodyText"/>
      </w:pPr>
      <w:r>
        <w:t xml:space="preserve">• SciELO;</w:t>
      </w:r>
    </w:p>
    <w:p>
      <w:pPr>
        <w:pStyle w:val="BodyText"/>
      </w:pPr>
      <w:r>
        <w:t xml:space="preserve">• Revista de Saúde Pública;</w:t>
      </w:r>
    </w:p>
    <w:p>
      <w:pPr>
        <w:pStyle w:val="BodyText"/>
      </w:pPr>
      <w:r>
        <w:t xml:space="preserve">• International Journal of Drug Policy;</w:t>
      </w:r>
    </w:p>
    <w:p>
      <w:pPr>
        <w:pStyle w:val="BodyText"/>
      </w:pPr>
      <w:r>
        <w:t xml:space="preserve">• Centro de Convivência É de Lei/Projeto ResPire;</w:t>
      </w:r>
    </w:p>
    <w:p>
      <w:pPr>
        <w:pStyle w:val="BodyText"/>
      </w:pPr>
      <w:r>
        <w:t xml:space="preserve">• ABORDA;</w:t>
      </w:r>
    </w:p>
    <w:p>
      <w:pPr>
        <w:pStyle w:val="BodyText"/>
      </w:pPr>
      <w:r>
        <w:t xml:space="preserve">• coletivos PreParty, Balance e Simbiose.</w:t>
      </w:r>
    </w:p>
    <w:p/>
    <w:p>
      <w:pPr>
        <w:pStyle w:val="BodyText"/>
      </w:pPr>
      <w:r>
        <w:t xml:space="preserve">Regras:</w:t>
      </w:r>
    </w:p>
    <w:p/>
    <w:p>
      <w:pPr>
        <w:pStyle w:val="BodyText"/>
      </w:pPr>
      <w:r>
        <w:t xml:space="preserve">• não diagnosticar;</w:t>
      </w:r>
    </w:p>
    <w:p>
      <w:pPr>
        <w:pStyle w:val="BodyText"/>
      </w:pPr>
      <w:r>
        <w:t xml:space="preserve">• não presumir uso de substância;</w:t>
      </w:r>
    </w:p>
    <w:p>
      <w:pPr>
        <w:pStyle w:val="BodyText"/>
      </w:pPr>
      <w:r>
        <w:t xml:space="preserve">• não expor pessoas;</w:t>
      </w:r>
    </w:p>
    <w:p>
      <w:pPr>
        <w:pStyle w:val="BodyText"/>
      </w:pPr>
      <w:r>
        <w:t xml:space="preserve">• não moralizar práticas sexuais ou uso de substâncias;</w:t>
      </w:r>
    </w:p>
    <w:p>
      <w:pPr>
        <w:pStyle w:val="BodyText"/>
      </w:pPr>
      <w:r>
        <w:t xml:space="preserve">• não oferecer dosagem, combinação ou instrução de uso;</w:t>
      </w:r>
    </w:p>
    <w:p>
      <w:pPr>
        <w:pStyle w:val="BodyText"/>
      </w:pPr>
      <w:r>
        <w:t xml:space="preserve">• não substituir orientação profissional;</w:t>
      </w:r>
    </w:p>
    <w:p>
      <w:pPr>
        <w:pStyle w:val="BodyText"/>
      </w:pPr>
      <w:r>
        <w:t xml:space="preserve">• tratar o tema como cuidado, saúde pública e redução de danos.</w:t>
      </w:r>
    </w:p>
    <w:p/>
    <w:p>
      <w:pPr>
        <w:pStyle w:val="Heading2"/>
      </w:pPr>
      <w:r>
        <w:t xml:space="preserve">5.3 Histórico-musical e curatorial</w:t>
      </w:r>
    </w:p>
    <w:p/>
    <w:p>
      <w:pPr>
        <w:pStyle w:val="BodyText"/>
      </w:pPr>
      <w:r>
        <w:t xml:space="preserve">Abrange House, Tribal House, Big Room, Vocal Tribal, DJs, line-up, curadoria, pista, clubes, festas, circuit parties, The Week, Festa da Lili, Hell &amp; Heaven, cultura clubber, imprensa especializada, memória da noite, assinatura sonora e repertório.</w:t>
      </w:r>
    </w:p>
    <w:p/>
    <w:p>
      <w:pPr>
        <w:pStyle w:val="BodyText"/>
      </w:pPr>
      <w:r>
        <w:t xml:space="preserve">Referências:</w:t>
      </w:r>
    </w:p>
    <w:p/>
    <w:p>
      <w:pPr>
        <w:pStyle w:val="BodyText"/>
      </w:pPr>
      <w:r>
        <w:t xml:space="preserve">• Todo DJ Já Sambou;</w:t>
      </w:r>
    </w:p>
    <w:p>
      <w:pPr>
        <w:pStyle w:val="BodyText"/>
      </w:pPr>
      <w:r>
        <w:t xml:space="preserve">• Ondas Tropicais;</w:t>
      </w:r>
    </w:p>
    <w:p>
      <w:pPr>
        <w:pStyle w:val="BodyText"/>
      </w:pPr>
      <w:r>
        <w:t xml:space="preserve">• Babado Forte;</w:t>
      </w:r>
    </w:p>
    <w:p>
      <w:pPr>
        <w:pStyle w:val="BodyText"/>
      </w:pPr>
      <w:r>
        <w:t xml:space="preserve">• Revista DJ Sound;</w:t>
      </w:r>
    </w:p>
    <w:p>
      <w:pPr>
        <w:pStyle w:val="BodyText"/>
      </w:pPr>
      <w:r>
        <w:t xml:space="preserve">• Coluna Noite Ilustrada;</w:t>
      </w:r>
    </w:p>
    <w:p>
      <w:pPr>
        <w:pStyle w:val="BodyText"/>
      </w:pPr>
      <w:r>
        <w:t xml:space="preserve">• textos e reportagens de Camilo Rocha;</w:t>
      </w:r>
    </w:p>
    <w:p>
      <w:pPr>
        <w:pStyle w:val="BodyText"/>
      </w:pPr>
      <w:r>
        <w:t xml:space="preserve">• Bate Estaca;</w:t>
      </w:r>
    </w:p>
    <w:p>
      <w:pPr>
        <w:pStyle w:val="BodyText"/>
      </w:pPr>
      <w:r>
        <w:t xml:space="preserve">• pesquisas de USP e UNICAMP;</w:t>
      </w:r>
    </w:p>
    <w:p>
      <w:pPr>
        <w:pStyle w:val="BodyText"/>
      </w:pPr>
      <w:r>
        <w:t xml:space="preserve">• Julio Assis Simões;</w:t>
      </w:r>
    </w:p>
    <w:p>
      <w:pPr>
        <w:pStyle w:val="BodyText"/>
      </w:pPr>
      <w:r>
        <w:t xml:space="preserve">• Regina Facchini;</w:t>
      </w:r>
    </w:p>
    <w:p>
      <w:pPr>
        <w:pStyle w:val="BodyText"/>
      </w:pPr>
      <w:r>
        <w:t xml:space="preserve">• MIS-SP;</w:t>
      </w:r>
    </w:p>
    <w:p>
      <w:pPr>
        <w:pStyle w:val="BodyText"/>
      </w:pPr>
      <w:r>
        <w:t xml:space="preserve">• Last Night a DJ Saved My Life;</w:t>
      </w:r>
    </w:p>
    <w:p>
      <w:pPr>
        <w:pStyle w:val="BodyText"/>
      </w:pPr>
      <w:r>
        <w:t xml:space="preserve">• documentário Maestro;</w:t>
      </w:r>
    </w:p>
    <w:p>
      <w:pPr>
        <w:pStyle w:val="BodyText"/>
      </w:pPr>
      <w:r>
        <w:t xml:space="preserve">• referências históricas do House, Tribal House e Big Room.</w:t>
      </w:r>
    </w:p>
    <w:p/>
    <w:p>
      <w:pPr>
        <w:pStyle w:val="BodyText"/>
      </w:pPr>
      <w:r>
        <w:t xml:space="preserve">Regras:</w:t>
      </w:r>
    </w:p>
    <w:p/>
    <w:p>
      <w:pPr>
        <w:pStyle w:val="BodyText"/>
      </w:pPr>
      <w:r>
        <w:t xml:space="preserve">• comentário sobre música não deve ser tratado apenas como gosto pessoal;</w:t>
      </w:r>
    </w:p>
    <w:p>
      <w:pPr>
        <w:pStyle w:val="BodyText"/>
      </w:pPr>
      <w:r>
        <w:t xml:space="preserve">• identificar se o alvo é DJ, público, curadoria, festa, gênero musical ou expectativa;</w:t>
      </w:r>
    </w:p>
    <w:p>
      <w:pPr>
        <w:pStyle w:val="BodyText"/>
      </w:pPr>
      <w:r>
        <w:t xml:space="preserve">• não criar ranking automático;</w:t>
      </w:r>
    </w:p>
    <w:p>
      <w:pPr>
        <w:pStyle w:val="BodyText"/>
      </w:pPr>
      <w:r>
        <w:t xml:space="preserve">• não transformar memória afetiva em juízo absoluto;</w:t>
      </w:r>
    </w:p>
    <w:p>
      <w:pPr>
        <w:pStyle w:val="BodyText"/>
      </w:pPr>
      <w:r>
        <w:t xml:space="preserve">• usar termos como centralidade, influência e relevância em vez de afirmações absolutas.</w:t>
      </w:r>
    </w:p>
    <w:p/>
    <w:p>
      <w:pPr>
        <w:pStyle w:val="Heading2"/>
      </w:pPr>
      <w:r>
        <w:t xml:space="preserve">5.4 Operação e infraestrutura</w:t>
      </w:r>
    </w:p>
    <w:p/>
    <w:p>
      <w:pPr>
        <w:pStyle w:val="BodyText"/>
      </w:pPr>
      <w:r>
        <w:t xml:space="preserve">Abrange fila, entrada, revista, bar, open bar, banheiro, palco, som, iluminação, segurança, lotação, climatização, atendimento, sinalização, transporte interno, fluxo, acesso e saída.</w:t>
      </w:r>
    </w:p>
    <w:p/>
    <w:p>
      <w:pPr>
        <w:pStyle w:val="BodyText"/>
      </w:pPr>
      <w:r>
        <w:t xml:space="preserve">Regras:</w:t>
      </w:r>
    </w:p>
    <w:p/>
    <w:p>
      <w:pPr>
        <w:pStyle w:val="BodyText"/>
      </w:pPr>
      <w:r>
        <w:t xml:space="preserve">• classificar falha física e operacional como operação tangível;</w:t>
      </w:r>
    </w:p>
    <w:p>
      <w:pPr>
        <w:pStyle w:val="BodyText"/>
      </w:pPr>
      <w:r>
        <w:t xml:space="preserve">• não deslocar problema de bar para palco, nem curadoria para lotação;</w:t>
      </w:r>
    </w:p>
    <w:p>
      <w:pPr>
        <w:pStyle w:val="BodyText"/>
      </w:pPr>
      <w:r>
        <w:t xml:space="preserve">• preservar o fato gerador original;</w:t>
      </w:r>
    </w:p>
    <w:p>
      <w:pPr>
        <w:pStyle w:val="BodyText"/>
      </w:pPr>
      <w:r>
        <w:t xml:space="preserve">• diferenciar falha pontual de padrão recorrente.</w:t>
      </w:r>
    </w:p>
    <w:p/>
    <w:p>
      <w:pPr>
        <w:pStyle w:val="Heading2"/>
      </w:pPr>
      <w:r>
        <w:t xml:space="preserve">5.5 Experiência e percepção do público</w:t>
      </w:r>
    </w:p>
    <w:p/>
    <w:p>
      <w:pPr>
        <w:pStyle w:val="BodyText"/>
      </w:pPr>
      <w:r>
        <w:t xml:space="preserve">Abrange frustração, desejo, encantamento, decepção, acolhimento, pertencimento, intenção de retorno, recomendação espontânea, memória afetiva, rejeição, status, valor percebido e percepção de entrega.</w:t>
      </w:r>
    </w:p>
    <w:p/>
    <w:p>
      <w:pPr>
        <w:pStyle w:val="BodyText"/>
      </w:pPr>
      <w:r>
        <w:t xml:space="preserve">Regras:</w:t>
      </w:r>
    </w:p>
    <w:p/>
    <w:p>
      <w:pPr>
        <w:pStyle w:val="BodyText"/>
      </w:pPr>
      <w:r>
        <w:t xml:space="preserve">• não transformar emoção isolada em diagnóstico coletivo;</w:t>
      </w:r>
    </w:p>
    <w:p>
      <w:pPr>
        <w:pStyle w:val="BodyText"/>
      </w:pPr>
      <w:r>
        <w:t xml:space="preserve">• diferenciar experiência completa de falha localizada;</w:t>
      </w:r>
    </w:p>
    <w:p>
      <w:pPr>
        <w:pStyle w:val="BodyText"/>
      </w:pPr>
      <w:r>
        <w:t xml:space="preserve">• avaliar se o comentário aponta experiência geral positiva, negativa, ambivalente ou localizada.</w:t>
      </w:r>
    </w:p>
    <w:p/>
    <w:p>
      <w:pPr>
        <w:pStyle w:val="Heading2"/>
      </w:pPr>
      <w:r>
        <w:t xml:space="preserve">5.6 Reputação e decisão estratégica</w:t>
      </w:r>
    </w:p>
    <w:p/>
    <w:p>
      <w:pPr>
        <w:pStyle w:val="BodyText"/>
      </w:pPr>
      <w:r>
        <w:t xml:space="preserve">Abrange risco reputacional, oportunidade de reposicionamento, recorrência, impacto percebido, prioridade, recomendação, confiança, desgaste, legitimidade, valor de marca e tomada de decisão.</w:t>
      </w:r>
    </w:p>
    <w:p/>
    <w:p>
      <w:pPr>
        <w:pStyle w:val="BodyText"/>
      </w:pPr>
      <w:r>
        <w:t xml:space="preserve">Regras:</w:t>
      </w:r>
    </w:p>
    <w:p/>
    <w:p>
      <w:pPr>
        <w:pStyle w:val="BodyText"/>
      </w:pPr>
      <w:r>
        <w:t xml:space="preserve">• não criar alerta reputacional grave sem volume ou evidência suficiente;</w:t>
      </w:r>
    </w:p>
    <w:p>
      <w:pPr>
        <w:pStyle w:val="BodyText"/>
      </w:pPr>
      <w:r>
        <w:t xml:space="preserve">• diferenciar crítica localizada de crise;</w:t>
      </w:r>
    </w:p>
    <w:p>
      <w:pPr>
        <w:pStyle w:val="BodyText"/>
      </w:pPr>
      <w:r>
        <w:t xml:space="preserve">• associar recomendação à evidência textual e ao padrão identificado.</w:t>
      </w:r>
    </w:p>
    <w:p/>
    <w:p>
      <w:pPr>
        <w:pStyle w:val="Heading2"/>
      </w:pPr>
      <w:r>
        <w:t xml:space="preserve">5.7 Governança, ética e proteção de dados</w:t>
      </w:r>
    </w:p>
    <w:p/>
    <w:p>
      <w:pPr>
        <w:pStyle w:val="BodyText"/>
      </w:pPr>
      <w:r>
        <w:t xml:space="preserve">Abrange anonimização, pseudonimização, exposição pública, comentário sensível, prints, perfis, nomes, acusações, saúde, substâncias, violência, reputação, painel público, limites de publicação e validação humana.</w:t>
      </w:r>
    </w:p>
    <w:p/>
    <w:p>
      <w:pPr>
        <w:pStyle w:val="BodyText"/>
      </w:pPr>
      <w:r>
        <w:t xml:space="preserve">Referências:</w:t>
      </w:r>
    </w:p>
    <w:p/>
    <w:p>
      <w:pPr>
        <w:pStyle w:val="BodyText"/>
      </w:pPr>
      <w:r>
        <w:t xml:space="preserve">• LGPD;</w:t>
      </w:r>
    </w:p>
    <w:p>
      <w:pPr>
        <w:pStyle w:val="BodyText"/>
      </w:pPr>
      <w:r>
        <w:t xml:space="preserve">• ANPD;</w:t>
      </w:r>
    </w:p>
    <w:p>
      <w:pPr>
        <w:pStyle w:val="BodyText"/>
      </w:pPr>
      <w:r>
        <w:t xml:space="preserve">• guias de anonimização e pseudonimização;</w:t>
      </w:r>
    </w:p>
    <w:p>
      <w:pPr>
        <w:pStyle w:val="BodyText"/>
      </w:pPr>
      <w:r>
        <w:t xml:space="preserve">• ética em pesquisa;</w:t>
      </w:r>
    </w:p>
    <w:p>
      <w:pPr>
        <w:pStyle w:val="BodyText"/>
      </w:pPr>
      <w:r>
        <w:t xml:space="preserve">• minimização de dados;</w:t>
      </w:r>
    </w:p>
    <w:p>
      <w:pPr>
        <w:pStyle w:val="BodyText"/>
      </w:pPr>
      <w:r>
        <w:t xml:space="preserve">• boas práticas de proteção de dados.</w:t>
      </w:r>
    </w:p>
    <w:p/>
    <w:p>
      <w:pPr>
        <w:pStyle w:val="BodyText"/>
      </w:pPr>
      <w:r>
        <w:t xml:space="preserve">Regras:</w:t>
      </w:r>
    </w:p>
    <w:p/>
    <w:p>
      <w:pPr>
        <w:pStyle w:val="BodyText"/>
      </w:pPr>
      <w:r>
        <w:t xml:space="preserve">• não expor indivíduos;</w:t>
      </w:r>
    </w:p>
    <w:p>
      <w:pPr>
        <w:pStyle w:val="BodyText"/>
      </w:pPr>
      <w:r>
        <w:t xml:space="preserve">• não publicar comentário bruto sensível;</w:t>
      </w:r>
    </w:p>
    <w:p>
      <w:pPr>
        <w:pStyle w:val="BodyText"/>
      </w:pPr>
      <w:r>
        <w:t xml:space="preserve">• não transformar dado público em autorização para exposição;</w:t>
      </w:r>
    </w:p>
    <w:p>
      <w:pPr>
        <w:pStyle w:val="BodyText"/>
      </w:pPr>
      <w:r>
        <w:t xml:space="preserve">• agregar dados no painel público;</w:t>
      </w:r>
    </w:p>
    <w:p>
      <w:pPr>
        <w:pStyle w:val="BodyText"/>
      </w:pPr>
      <w:r>
        <w:t xml:space="preserve">• impedir rankings depreciativos sem critério;</w:t>
      </w:r>
    </w:p>
    <w:p>
      <w:pPr>
        <w:pStyle w:val="BodyText"/>
      </w:pPr>
      <w:r>
        <w:t xml:space="preserve">• manter evidências sensíveis apenas no ambiente interno controlado.</w:t>
      </w:r>
    </w:p>
    <w:p/>
    <w:p>
      <w:pPr>
        <w:pStyle w:val="Heading2"/>
      </w:pPr>
      <w:r>
        <w:t xml:space="preserve">5.8 Território e dinâmica urbana da noite</w:t>
      </w:r>
    </w:p>
    <w:p/>
    <w:p>
      <w:pPr>
        <w:pStyle w:val="BodyText"/>
      </w:pPr>
      <w:r>
        <w:t xml:space="preserve">Abrange mobilidade, entorno, bairro, transporte, saída do evento, segurança urbana, calçada, fila externa, aplicativos, policiamento, ruído urbano, vizinhança, infraestrutura local e relação com poder público.</w:t>
      </w:r>
    </w:p>
    <w:p/>
    <w:p>
      <w:pPr>
        <w:pStyle w:val="BodyText"/>
      </w:pPr>
      <w:r>
        <w:t xml:space="preserve">Referências:</w:t>
      </w:r>
    </w:p>
    <w:p/>
    <w:p>
      <w:pPr>
        <w:pStyle w:val="BodyText"/>
      </w:pPr>
      <w:r>
        <w:t xml:space="preserve">• Planning the Night-time City;</w:t>
      </w:r>
    </w:p>
    <w:p>
      <w:pPr>
        <w:pStyle w:val="BodyText"/>
      </w:pPr>
      <w:r>
        <w:t xml:space="preserve">• night-time economy;</w:t>
      </w:r>
    </w:p>
    <w:p>
      <w:pPr>
        <w:pStyle w:val="BodyText"/>
      </w:pPr>
      <w:r>
        <w:t xml:space="preserve">• Jane Jacobs;</w:t>
      </w:r>
    </w:p>
    <w:p>
      <w:pPr>
        <w:pStyle w:val="BodyText"/>
      </w:pPr>
      <w:r>
        <w:t xml:space="preserve">• Henri Lefebvre;</w:t>
      </w:r>
    </w:p>
    <w:p>
      <w:pPr>
        <w:pStyle w:val="BodyText"/>
      </w:pPr>
      <w:r>
        <w:t xml:space="preserve">• Jan Gehl;</w:t>
      </w:r>
    </w:p>
    <w:p>
      <w:pPr>
        <w:pStyle w:val="BodyText"/>
      </w:pPr>
      <w:r>
        <w:t xml:space="preserve">• Teresa Caldeira;</w:t>
      </w:r>
    </w:p>
    <w:p>
      <w:pPr>
        <w:pStyle w:val="BodyText"/>
      </w:pPr>
      <w:r>
        <w:t xml:space="preserve">• José Guilherme Magnani;</w:t>
      </w:r>
    </w:p>
    <w:p>
      <w:pPr>
        <w:pStyle w:val="BodyText"/>
      </w:pPr>
      <w:r>
        <w:t xml:space="preserve">• Heitor Frúgoli Jr.;</w:t>
      </w:r>
    </w:p>
    <w:p>
      <w:pPr>
        <w:pStyle w:val="BodyText"/>
      </w:pPr>
      <w:r>
        <w:t xml:space="preserve">• estudos urbanos e antropologia da cidade.</w:t>
      </w:r>
    </w:p>
    <w:p/>
    <w:p>
      <w:pPr>
        <w:pStyle w:val="BodyText"/>
      </w:pPr>
      <w:r>
        <w:t xml:space="preserve">Regras:</w:t>
      </w:r>
    </w:p>
    <w:p/>
    <w:p>
      <w:pPr>
        <w:pStyle w:val="BodyText"/>
      </w:pPr>
      <w:r>
        <w:t xml:space="preserve">• diferenciar responsabilidade da festa, do espaço, do entorno, do bairro, do poder público e da infraestrutura urbana;</w:t>
      </w:r>
    </w:p>
    <w:p>
      <w:pPr>
        <w:pStyle w:val="BodyText"/>
      </w:pPr>
      <w:r>
        <w:t xml:space="preserve">• não atribuir automaticamente à produção problemas que podem ser territoriais ou urbanos.</w:t>
      </w:r>
    </w:p>
    <w:p/>
    <w:p>
      <w:pPr>
        <w:pStyle w:val="Heading2"/>
      </w:pPr>
      <w:r>
        <w:t xml:space="preserve">5.9 Economia da experiência e valor percebido</w:t>
      </w:r>
    </w:p>
    <w:p/>
    <w:p>
      <w:pPr>
        <w:pStyle w:val="BodyText"/>
      </w:pPr>
      <w:r>
        <w:t xml:space="preserve">Abrange preço, ingresso, open bar, entrega, custo-benefício, camarote, pista, consumo, premiumização, patrocínio, exclusividade, promessa de valor, percepção de exploração e valor simbólico.</w:t>
      </w:r>
    </w:p>
    <w:p/>
    <w:p>
      <w:pPr>
        <w:pStyle w:val="BodyText"/>
      </w:pPr>
      <w:r>
        <w:t xml:space="preserve">Referências:</w:t>
      </w:r>
    </w:p>
    <w:p/>
    <w:p>
      <w:pPr>
        <w:pStyle w:val="BodyText"/>
      </w:pPr>
      <w:r>
        <w:t xml:space="preserve">• Pine e Gilmore;</w:t>
      </w:r>
    </w:p>
    <w:p>
      <w:pPr>
        <w:pStyle w:val="BodyText"/>
      </w:pPr>
      <w:r>
        <w:t xml:space="preserve">• Bernd Schmitt;</w:t>
      </w:r>
    </w:p>
    <w:p>
      <w:pPr>
        <w:pStyle w:val="BodyText"/>
      </w:pPr>
      <w:r>
        <w:t xml:space="preserve">• Holbrook e Hirschman;</w:t>
      </w:r>
    </w:p>
    <w:p>
      <w:pPr>
        <w:pStyle w:val="BodyText"/>
      </w:pPr>
      <w:r>
        <w:t xml:space="preserve">• Zeithaml;</w:t>
      </w:r>
    </w:p>
    <w:p>
      <w:pPr>
        <w:pStyle w:val="BodyText"/>
      </w:pPr>
      <w:r>
        <w:t xml:space="preserve">• Kotler e Keller;</w:t>
      </w:r>
    </w:p>
    <w:p>
      <w:pPr>
        <w:pStyle w:val="BodyText"/>
      </w:pPr>
      <w:r>
        <w:t xml:space="preserve">• Grönroos;</w:t>
      </w:r>
    </w:p>
    <w:p>
      <w:pPr>
        <w:pStyle w:val="BodyText"/>
      </w:pPr>
      <w:r>
        <w:t xml:space="preserve">• Vargo e Lusch.</w:t>
      </w:r>
    </w:p>
    <w:p/>
    <w:p>
      <w:pPr>
        <w:pStyle w:val="BodyText"/>
      </w:pPr>
      <w:r>
        <w:t xml:space="preserve">Regras:</w:t>
      </w:r>
    </w:p>
    <w:p/>
    <w:p>
      <w:pPr>
        <w:pStyle w:val="BodyText"/>
      </w:pPr>
      <w:r>
        <w:t xml:space="preserve">• diferenciar caro de baixo valor percebido;</w:t>
      </w:r>
    </w:p>
    <w:p>
      <w:pPr>
        <w:pStyle w:val="BodyText"/>
      </w:pPr>
      <w:r>
        <w:t xml:space="preserve">• diferenciar preço de entrega;</w:t>
      </w:r>
    </w:p>
    <w:p>
      <w:pPr>
        <w:pStyle w:val="BodyText"/>
      </w:pPr>
      <w:r>
        <w:t xml:space="preserve">• analisar relação entre promessa, pagamento e experiência vivida;</w:t>
      </w:r>
    </w:p>
    <w:p>
      <w:pPr>
        <w:pStyle w:val="BodyText"/>
      </w:pPr>
      <w:r>
        <w:t xml:space="preserve">• tratar open bar, camarote e premiumização como parte da economia da experiência.</w:t>
      </w:r>
    </w:p>
    <w:p/>
    <w:p>
      <w:pPr>
        <w:pStyle w:val="Heading2"/>
      </w:pPr>
      <w:r>
        <w:t xml:space="preserve">5.10 Trabalho, bastidores e cadeia produtiva</w:t>
      </w:r>
    </w:p>
    <w:p/>
    <w:p>
      <w:pPr>
        <w:pStyle w:val="BodyText"/>
      </w:pPr>
      <w:r>
        <w:t xml:space="preserve">Abrange DJs, performers, staff, segurança, bar, limpeza, fotógrafos, promoters, hosts, técnicos, produtores, curadoria, horários, oportunidade artística, trabalho invisível, operação de bastidor e cadeia produtiva.</w:t>
      </w:r>
    </w:p>
    <w:p/>
    <w:p>
      <w:pPr>
        <w:pStyle w:val="BodyText"/>
      </w:pPr>
      <w:r>
        <w:t xml:space="preserve">Referências:</w:t>
      </w:r>
    </w:p>
    <w:p/>
    <w:p>
      <w:pPr>
        <w:pStyle w:val="BodyText"/>
      </w:pPr>
      <w:r>
        <w:t xml:space="preserve">• Howard Becker;</w:t>
      </w:r>
    </w:p>
    <w:p>
      <w:pPr>
        <w:pStyle w:val="BodyText"/>
      </w:pPr>
      <w:r>
        <w:t xml:space="preserve">• Art Worlds;</w:t>
      </w:r>
    </w:p>
    <w:p>
      <w:pPr>
        <w:pStyle w:val="BodyText"/>
      </w:pPr>
      <w:r>
        <w:t xml:space="preserve">• Hesmondhalgh e Baker;</w:t>
      </w:r>
    </w:p>
    <w:p>
      <w:pPr>
        <w:pStyle w:val="BodyText"/>
      </w:pPr>
      <w:r>
        <w:t xml:space="preserve">• Sarah Thornton;</w:t>
      </w:r>
    </w:p>
    <w:p>
      <w:pPr>
        <w:pStyle w:val="BodyText"/>
      </w:pPr>
      <w:r>
        <w:t xml:space="preserve">• Will Straw;</w:t>
      </w:r>
    </w:p>
    <w:p>
      <w:pPr>
        <w:pStyle w:val="BodyText"/>
      </w:pPr>
      <w:r>
        <w:t xml:space="preserve">• Andy Bennett;</w:t>
      </w:r>
    </w:p>
    <w:p>
      <w:pPr>
        <w:pStyle w:val="BodyText"/>
      </w:pPr>
      <w:r>
        <w:t xml:space="preserve">• Pierre Bourdieu;</w:t>
      </w:r>
    </w:p>
    <w:p>
      <w:pPr>
        <w:pStyle w:val="BodyText"/>
      </w:pPr>
      <w:r>
        <w:t xml:space="preserve">• Richard Sennett;</w:t>
      </w:r>
    </w:p>
    <w:p>
      <w:pPr>
        <w:pStyle w:val="BodyText"/>
      </w:pPr>
      <w:r>
        <w:t xml:space="preserve">• Pierre-Michel Menger;</w:t>
      </w:r>
    </w:p>
    <w:p>
      <w:pPr>
        <w:pStyle w:val="BodyText"/>
      </w:pPr>
      <w:r>
        <w:t xml:space="preserve">• estudos sobre indústrias culturais, trabalho artístico e economia criativa.</w:t>
      </w:r>
    </w:p>
    <w:p/>
    <w:p>
      <w:pPr>
        <w:pStyle w:val="BodyText"/>
      </w:pPr>
      <w:r>
        <w:t xml:space="preserve">Regras:</w:t>
      </w:r>
    </w:p>
    <w:p/>
    <w:p>
      <w:pPr>
        <w:pStyle w:val="BodyText"/>
      </w:pPr>
      <w:r>
        <w:t xml:space="preserve">• não reduzir a festa à relação público-produtor;</w:t>
      </w:r>
    </w:p>
    <w:p>
      <w:pPr>
        <w:pStyle w:val="BodyText"/>
      </w:pPr>
      <w:r>
        <w:t xml:space="preserve">• considerar a cadeia de trabalho que sustenta a experiência;</w:t>
      </w:r>
    </w:p>
    <w:p>
      <w:pPr>
        <w:pStyle w:val="BodyText"/>
      </w:pPr>
      <w:r>
        <w:t xml:space="preserve">• tratar comentários sobre horários, oportunidade artística, curadoria e equipe como parte da cadeia produtiva.</w:t>
      </w:r>
    </w:p>
    <w:p/>
    <w:p>
      <w:pPr>
        <w:pStyle w:val="Heading1"/>
      </w:pPr>
      <w:r>
        <w:t xml:space="preserve">6. Regras transversais da taxonomia</w:t>
      </w:r>
    </w:p>
    <w:p/>
    <w:p>
      <w:pPr>
        <w:pStyle w:val="Heading2"/>
      </w:pPr>
      <w:r>
        <w:t xml:space="preserve">6.1 Regra do objeto da crítica</w:t>
      </w:r>
    </w:p>
    <w:p/>
    <w:p>
      <w:pPr>
        <w:pStyle w:val="BodyText"/>
      </w:pPr>
      <w:r>
        <w:t xml:space="preserve">Antes de definir polaridade, categoria ou impacto, identificar sobre quem ou sobre o que o comentário fala:</w:t>
      </w:r>
    </w:p>
    <w:p/>
    <w:p>
      <w:pPr>
        <w:pStyle w:val="BodyText"/>
      </w:pPr>
      <w:r>
        <w:t xml:space="preserve">• festa;</w:t>
      </w:r>
    </w:p>
    <w:p>
      <w:pPr>
        <w:pStyle w:val="BodyText"/>
      </w:pPr>
      <w:r>
        <w:t xml:space="preserve">• público;</w:t>
      </w:r>
    </w:p>
    <w:p>
      <w:pPr>
        <w:pStyle w:val="BodyText"/>
      </w:pPr>
      <w:r>
        <w:t xml:space="preserve">• DJ;</w:t>
      </w:r>
    </w:p>
    <w:p>
      <w:pPr>
        <w:pStyle w:val="BodyText"/>
      </w:pPr>
      <w:r>
        <w:t xml:space="preserve">• produtor;</w:t>
      </w:r>
    </w:p>
    <w:p>
      <w:pPr>
        <w:pStyle w:val="BodyText"/>
      </w:pPr>
      <w:r>
        <w:t xml:space="preserve">• curadoria;</w:t>
      </w:r>
    </w:p>
    <w:p>
      <w:pPr>
        <w:pStyle w:val="BodyText"/>
      </w:pPr>
      <w:r>
        <w:t xml:space="preserve">• espaço;</w:t>
      </w:r>
    </w:p>
    <w:p>
      <w:pPr>
        <w:pStyle w:val="BodyText"/>
      </w:pPr>
      <w:r>
        <w:t xml:space="preserve">• território;</w:t>
      </w:r>
    </w:p>
    <w:p>
      <w:pPr>
        <w:pStyle w:val="BodyText"/>
      </w:pPr>
      <w:r>
        <w:t xml:space="preserve">• cena;</w:t>
      </w:r>
    </w:p>
    <w:p>
      <w:pPr>
        <w:pStyle w:val="BodyText"/>
      </w:pPr>
      <w:r>
        <w:t xml:space="preserve">• marca;</w:t>
      </w:r>
    </w:p>
    <w:p>
      <w:pPr>
        <w:pStyle w:val="BodyText"/>
      </w:pPr>
      <w:r>
        <w:t xml:space="preserve">• operação;</w:t>
      </w:r>
    </w:p>
    <w:p>
      <w:pPr>
        <w:pStyle w:val="BodyText"/>
      </w:pPr>
      <w:r>
        <w:t xml:space="preserve">• experiência;</w:t>
      </w:r>
    </w:p>
    <w:p>
      <w:pPr>
        <w:pStyle w:val="BodyText"/>
      </w:pPr>
      <w:r>
        <w:t xml:space="preserve">• poder público;</w:t>
      </w:r>
    </w:p>
    <w:p>
      <w:pPr>
        <w:pStyle w:val="BodyText"/>
      </w:pPr>
      <w:r>
        <w:t xml:space="preserve">• cadeia produtiva.</w:t>
      </w:r>
    </w:p>
    <w:p/>
    <w:p>
      <w:pPr>
        <w:pStyle w:val="Heading2"/>
      </w:pPr>
      <w:r>
        <w:t xml:space="preserve">6.2 Regra de polaridade contextual</w:t>
      </w:r>
    </w:p>
    <w:p/>
    <w:p>
      <w:pPr>
        <w:pStyle w:val="BodyText"/>
      </w:pPr>
      <w:r>
        <w:t xml:space="preserve">A polaridade deve considerar o alvo da avaliação.</w:t>
      </w:r>
    </w:p>
    <w:p/>
    <w:p>
      <w:pPr>
        <w:pStyle w:val="BodyText"/>
      </w:pPr>
      <w:r>
        <w:t xml:space="preserve">Um comentário pode ser positivo para um território externo e não ser positivo para o recorte analisado. Um comentário pode ser positivo para a experiência geral e negativo para uma falha operacional localizada. Um comentário pode ser negativo para o comportamento do público e não para a festa.</w:t>
      </w:r>
    </w:p>
    <w:p/>
    <w:p>
      <w:pPr>
        <w:pStyle w:val="Heading2"/>
      </w:pPr>
      <w:r>
        <w:t xml:space="preserve">6.3 Regra de granularidade</w:t>
      </w:r>
    </w:p>
    <w:p/>
    <w:p>
      <w:pPr>
        <w:pStyle w:val="BodyText"/>
      </w:pPr>
      <w:r>
        <w:t xml:space="preserve">Categorias específicas não devem ser substituídas por macrocategorias genéricas.</w:t>
      </w:r>
    </w:p>
    <w:p/>
    <w:p>
      <w:pPr>
        <w:pStyle w:val="BodyText"/>
      </w:pPr>
      <w:r>
        <w:t xml:space="preserve">A macro categoria organiza. A categoria granular preserva inteligência.</w:t>
      </w:r>
    </w:p>
    <w:p/>
    <w:p>
      <w:pPr>
        <w:pStyle w:val="Heading2"/>
      </w:pPr>
      <w:r>
        <w:t xml:space="preserve">6.4 Regra de recorrência</w:t>
      </w:r>
    </w:p>
    <w:p/>
    <w:p>
      <w:pPr>
        <w:pStyle w:val="BodyText"/>
      </w:pPr>
      <w:r>
        <w:t xml:space="preserve">Um comentário isolado pode ser evidência localizada, mas não vira padrão coletivo sem recorrência, convergência temática ou volume suficiente.</w:t>
      </w:r>
    </w:p>
    <w:p/>
    <w:p>
      <w:pPr>
        <w:pStyle w:val="Heading2"/>
      </w:pPr>
      <w:r>
        <w:t xml:space="preserve">6.5 Regra de resolução aderente</w:t>
      </w:r>
    </w:p>
    <w:p/>
    <w:p>
      <w:pPr>
        <w:pStyle w:val="BodyText"/>
      </w:pPr>
      <w:r>
        <w:t xml:space="preserve">Toda recomendação precisa nascer do comentário, da categoria e do impacto real.</w:t>
      </w:r>
    </w:p>
    <w:p/>
    <w:p>
      <w:pPr>
        <w:pStyle w:val="BodyText"/>
      </w:pPr>
      <w:r>
        <w:t xml:space="preserve">Comentário sobre curadoria não deve gerar resolução sobre lotação. Comentário sobre comportamento do público não deve gerar resolução sobre palco. Comentário sobre bar deve permanecer em bar, consumo, fluxo e experiência.</w:t>
      </w:r>
    </w:p>
    <w:p/>
    <w:p>
      <w:pPr>
        <w:pStyle w:val="Heading2"/>
      </w:pPr>
      <w:r>
        <w:t xml:space="preserve">6.6 Regra contra superinterpretação</w:t>
      </w:r>
    </w:p>
    <w:p/>
    <w:p>
      <w:pPr>
        <w:pStyle w:val="BodyText"/>
      </w:pPr>
      <w:r>
        <w:t xml:space="preserve">• não inventar intenção;</w:t>
      </w:r>
    </w:p>
    <w:p>
      <w:pPr>
        <w:pStyle w:val="BodyText"/>
      </w:pPr>
      <w:r>
        <w:t xml:space="preserve">• não atribuir motivação psicológica sem evidência textual;</w:t>
      </w:r>
    </w:p>
    <w:p>
      <w:pPr>
        <w:pStyle w:val="BodyText"/>
      </w:pPr>
      <w:r>
        <w:t xml:space="preserve">• não transformar percepção isolada em padrão coletivo;</w:t>
      </w:r>
    </w:p>
    <w:p>
      <w:pPr>
        <w:pStyle w:val="BodyText"/>
      </w:pPr>
      <w:r>
        <w:t xml:space="preserve">• não transformar comentário ambíguo em diagnóstico estrutural sem recorrência;</w:t>
      </w:r>
    </w:p>
    <w:p>
      <w:pPr>
        <w:pStyle w:val="BodyText"/>
      </w:pPr>
      <w:r>
        <w:t xml:space="preserve">• não ampliar o sentido do comentário além do que ele permite;</w:t>
      </w:r>
    </w:p>
    <w:p>
      <w:pPr>
        <w:pStyle w:val="BodyText"/>
      </w:pPr>
      <w:r>
        <w:t xml:space="preserve">• não afirmar causalidade quando houver apenas indício;</w:t>
      </w:r>
    </w:p>
    <w:p>
      <w:pPr>
        <w:pStyle w:val="BodyText"/>
      </w:pPr>
      <w:r>
        <w:t xml:space="preserve">• não criar leitura reputacional grave sem volume ou evidência suficiente;</w:t>
      </w:r>
    </w:p>
    <w:p>
      <w:pPr>
        <w:pStyle w:val="BodyText"/>
      </w:pPr>
      <w:r>
        <w:t xml:space="preserve">• não converter ruído em evidência;</w:t>
      </w:r>
    </w:p>
    <w:p>
      <w:pPr>
        <w:pStyle w:val="BodyText"/>
      </w:pPr>
      <w:r>
        <w:t xml:space="preserve">• não substituir prudência metodológica por interpretação sofisticada.</w:t>
      </w:r>
    </w:p>
    <w:p/>
    <w:p>
      <w:pPr>
        <w:pStyle w:val="Heading2"/>
      </w:pPr>
      <w:r>
        <w:t xml:space="preserve">6.7 Regra de validação humana obrigatória</w:t>
      </w:r>
    </w:p>
    <w:p/>
    <w:p>
      <w:pPr>
        <w:pStyle w:val="BodyText"/>
      </w:pPr>
      <w:r>
        <w:t xml:space="preserve">Exigir validação humana quando houver:</w:t>
      </w:r>
    </w:p>
    <w:p/>
    <w:p>
      <w:pPr>
        <w:pStyle w:val="BodyText"/>
      </w:pPr>
      <w:r>
        <w:t xml:space="preserve">• mudança de polaridade;</w:t>
      </w:r>
    </w:p>
    <w:p>
      <w:pPr>
        <w:pStyle w:val="BodyText"/>
      </w:pPr>
      <w:r>
        <w:t xml:space="preserve">• mudança de natureza;</w:t>
      </w:r>
    </w:p>
    <w:p>
      <w:pPr>
        <w:pStyle w:val="BodyText"/>
      </w:pPr>
      <w:r>
        <w:t xml:space="preserve">• mudança de categoria;</w:t>
      </w:r>
    </w:p>
    <w:p>
      <w:pPr>
        <w:pStyle w:val="BodyText"/>
      </w:pPr>
      <w:r>
        <w:t xml:space="preserve">• mudança de prioridade;</w:t>
      </w:r>
    </w:p>
    <w:p>
      <w:pPr>
        <w:pStyle w:val="BodyText"/>
      </w:pPr>
      <w:r>
        <w:t xml:space="preserve">• nova recomendação;</w:t>
      </w:r>
    </w:p>
    <w:p>
      <w:pPr>
        <w:pStyle w:val="BodyText"/>
      </w:pPr>
      <w:r>
        <w:t xml:space="preserve">• resolução desalinhada;</w:t>
      </w:r>
    </w:p>
    <w:p>
      <w:pPr>
        <w:pStyle w:val="BodyText"/>
      </w:pPr>
      <w:r>
        <w:t xml:space="preserve">• vocabulário sociocultural;</w:t>
      </w:r>
    </w:p>
    <w:p>
      <w:pPr>
        <w:pStyle w:val="BodyText"/>
      </w:pPr>
      <w:r>
        <w:t xml:space="preserve">• saúde, substância, chemsex ou redução de danos;</w:t>
      </w:r>
    </w:p>
    <w:p>
      <w:pPr>
        <w:pStyle w:val="BodyText"/>
      </w:pPr>
      <w:r>
        <w:t xml:space="preserve">• acusação ou risco reputacional;</w:t>
      </w:r>
    </w:p>
    <w:p>
      <w:pPr>
        <w:pStyle w:val="BodyText"/>
      </w:pPr>
      <w:r>
        <w:t xml:space="preserve">• comparação externa;</w:t>
      </w:r>
    </w:p>
    <w:p>
      <w:pPr>
        <w:pStyle w:val="BodyText"/>
      </w:pPr>
      <w:r>
        <w:t xml:space="preserve">• ironia, deboche, gíria ou ambiguidade cultural.</w:t>
      </w:r>
    </w:p>
    <w:p/>
    <w:p>
      <w:pPr>
        <w:pStyle w:val="Heading1"/>
      </w:pPr>
      <w:r>
        <w:t xml:space="preserve">7. Papel dos AGENTES 1 e 2 dentro da taxonomia</w:t>
      </w:r>
    </w:p>
    <w:p/>
    <w:p>
      <w:pPr>
        <w:pStyle w:val="BodyText"/>
      </w:pPr>
      <w:r>
        <w:t xml:space="preserve">AGENTE 1 e AGENTE 2 são camada oficial de mentoria analítica apenas.</w:t>
      </w:r>
    </w:p>
    <w:p/>
    <w:p>
      <w:pPr>
        <w:pStyle w:val="BodyText"/>
      </w:pPr>
      <w:r>
        <w:t xml:space="preserve">Eles não reprocessam automaticamente. Eles não substituem classificação oficial. Eles não alteram matriz oficial. Eles não mudam resoluções sem validação humana. Eles não substituem a decisão humana.</w:t>
      </w:r>
    </w:p>
    <w:p/>
    <w:p>
      <w:pPr>
        <w:pStyle w:val="BodyText"/>
      </w:pPr>
      <w:r>
        <w:t xml:space="preserve">AGENTE 1 qualifica experiência, percepção, emoção, pertencimento e valor percebido.</w:t>
      </w:r>
    </w:p>
    <w:p/>
    <w:p>
      <w:pPr>
        <w:pStyle w:val="BodyText"/>
      </w:pPr>
      <w:r>
        <w:t xml:space="preserve">AGENTE 2 qualifica recorrência, estrutura, ecossistema, comportamento coletivo, risco e dinâmica sociológica.</w:t>
      </w:r>
    </w:p>
    <w:p/>
    <w:p>
      <w:pPr>
        <w:pStyle w:val="Heading1"/>
      </w:pPr>
      <w:r>
        <w:t xml:space="preserve">8. Aplicação no processo</w:t>
      </w:r>
    </w:p>
    <w:p/>
    <w:p>
      <w:pPr>
        <w:pStyle w:val="BodyText"/>
      </w:pPr>
      <w:r>
        <w:t xml:space="preserve">A Taxonomia Mestre deve ser usada antes e durante o planejamento da escuta, a limpeza, a classificação, a leitura sociocultural, a identificação de padrões, a avaliação de impacto, a priorização, a resolução, o painel interno, o painel público e o aprendizado metodológico.</w:t>
      </w:r>
    </w:p>
    <w:p/>
    <w:p>
      <w:pPr>
        <w:pStyle w:val="BodyText"/>
      </w:pPr>
      <w:r>
        <w:t xml:space="preserve">Antes da classificação, a taxonomia define limites de vocabulário, objeto da crítica, polaridade contextual e granularidade. Durante a análise, ela atua como referência para verificar se cada interpretação continua aderente ao comentário-base. Após a análise, ela orienta a validação humana, especialmente quando há mudança de polaridade, natureza, categoria, prioridade ou resolução.</w:t>
      </w:r>
    </w:p>
    <w:p/>
    <w:p>
      <w:pPr>
        <w:pStyle w:val="BodyText"/>
      </w:pPr>
      <w:r>
        <w:t xml:space="preserve">No painel interno, a taxonomia funciona como trilha metodológica para auditoria. No painel público, atua como proteção contra exposição indevida, simplificação excessiva e rankings depreciativos sem critério.</w:t>
      </w:r>
    </w:p>
    <w:p/>
    <w:p>
      <w:pPr>
        <w:pStyle w:val="Heading1"/>
      </w:pPr>
      <w:r>
        <w:t xml:space="preserve">9. Limites de aplicação</w:t>
      </w:r>
    </w:p>
    <w:p/>
    <w:p>
      <w:pPr>
        <w:pStyle w:val="BodyText"/>
      </w:pPr>
      <w:r>
        <w:t xml:space="preserve">A Taxonomia Mestre V1.1 não altera automaticamente a rodada inicial validada.</w:t>
      </w:r>
    </w:p>
    <w:p/>
    <w:p>
      <w:pPr>
        <w:pStyle w:val="BodyText"/>
      </w:pPr>
      <w:r>
        <w:t xml:space="preserve">A Taxonomia Mestre V1.1 não reprocessa lote_01, lote_02 ou lote_03.</w:t>
      </w:r>
    </w:p>
    <w:p/>
    <w:p>
      <w:pPr>
        <w:pStyle w:val="BodyText"/>
      </w:pPr>
      <w:r>
        <w:t xml:space="preserve">A Taxonomia Mestre V1.1 passa a orientar novas análises, revisões pontuais e validações humanas.</w:t>
      </w:r>
    </w:p>
    <w:p/>
    <w:p>
      <w:pPr>
        <w:pStyle w:val="BodyText"/>
      </w:pPr>
      <w:r>
        <w:t xml:space="preserve">Aplicação retroativa só pode ocorrer por decisão explícita do usuário.</w:t>
      </w:r>
    </w:p>
    <w:p/>
    <w:p>
      <w:pPr>
        <w:pStyle w:val="Heading1"/>
      </w:pPr>
      <w:r>
        <w:t xml:space="preserve">10. Registro de criação</w:t>
      </w:r>
    </w:p>
    <w:p/>
    <w:p>
      <w:pPr>
        <w:pStyle w:val="BodyText"/>
      </w:pPr>
      <w:r>
        <w:t xml:space="preserve">Data de criação: 19/06/2026.</w:t>
      </w:r>
    </w:p>
    <w:p/>
    <w:p>
      <w:pPr>
        <w:pStyle w:val="BodyText"/>
      </w:pPr>
      <w:r>
        <w:t xml:space="preserve">Pasta criada: `C:\Users\Diego\Documents\Codex\2026-06-15\analise_comentarios_evento\00_contexto_mestre`.</w:t>
      </w:r>
    </w:p>
    <w:p/>
    <w:p>
      <w:pPr>
        <w:pStyle w:val="BodyText"/>
      </w:pPr>
      <w:r>
        <w:t xml:space="preserve">Arquivos gerados:</w:t>
      </w:r>
    </w:p>
    <w:p/>
    <w:p>
      <w:pPr>
        <w:pStyle w:val="BodyText"/>
      </w:pPr>
      <w:r>
        <w:t xml:space="preserve">• `TAXONOMIA_MESTRE_MAPA_DA_NOITE_V1_1.md`;</w:t>
      </w:r>
    </w:p>
    <w:p>
      <w:pPr>
        <w:pStyle w:val="BodyText"/>
      </w:pPr>
      <w:r>
        <w:t xml:space="preserve">• `TAXONOMIA_MESTRE_MAPA_DA_NOITE_V1_1.docx`;</w:t>
      </w:r>
    </w:p>
    <w:p>
      <w:pPr>
        <w:pStyle w:val="BodyText"/>
      </w:pPr>
      <w:r>
        <w:t xml:space="preserve">• `INDICE_TAXONOMIA_MESTRE_MAPA_DA_NOITE.md`;</w:t>
      </w:r>
    </w:p>
    <w:p>
      <w:pPr>
        <w:pStyle w:val="BodyText"/>
      </w:pPr>
      <w:r>
        <w:t xml:space="preserve">• `registro_criacao_taxonomia_mestre_v1_1.md`.</w:t>
      </w:r>
    </w:p>
    <w:p/>
    <w:p>
      <w:pPr>
        <w:pStyle w:val="BodyText"/>
      </w:pPr>
      <w:r>
        <w:t xml:space="preserve">Objetivo da taxonomia: estabelecer a camada metodológica prioritária que organiza categorias, regras, vocabulários, referências e limites interpretativos antes da classificação dos comentários públicos.</w:t>
      </w:r>
    </w:p>
    <w:p/>
    <w:p>
      <w:pPr>
        <w:pStyle w:val="BodyText"/>
      </w:pPr>
      <w:r>
        <w:t xml:space="preserve">Confirmação: nenhum arquivo oficial previamente validado foi alterado.</w:t>
      </w:r>
    </w:p>
    <w:p/>
    <w:p>
      <w:pPr>
        <w:pStyle w:val="BodyText"/>
      </w:pPr>
      <w:r>
        <w:t xml:space="preserve">Confirmação: a Taxonomia Mestre V1.1 passa a ser etapa fundamental e prioritária do processo.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  <w:pPr>
      <w:spacing w:after="120"/>
    </w:pPr>
    <w:rPr>
      <w:rFonts w:ascii="Arial" w:hAnsi="Arial"/>
      <w:sz w:val="22"/>
    </w:rPr>
  </w:style>
  <w:style w:type="paragraph" w:styleId="Title">
    <w:name w:val="Title"/>
    <w:basedOn w:val="Normal"/>
    <w:qFormat/>
    <w:pPr>
      <w:spacing w:after="240"/>
    </w:pPr>
    <w:rPr>
      <w:b/>
      <w:rFonts w:ascii="Arial" w:hAnsi="Arial"/>
      <w:sz w:val="36"/>
    </w:rPr>
  </w:style>
  <w:style w:type="paragraph" w:styleId="Heading1">
    <w:name w:val="heading 1"/>
    <w:basedOn w:val="Normal"/>
    <w:qFormat/>
    <w:pPr>
      <w:spacing w:before="240" w:after="120"/>
    </w:pPr>
    <w:rPr>
      <w:b/>
      <w:rFonts w:ascii="Arial" w:hAnsi="Arial"/>
      <w:sz w:val="28"/>
    </w:rPr>
  </w:style>
  <w:style w:type="paragraph" w:styleId="Heading2">
    <w:name w:val="heading 2"/>
    <w:basedOn w:val="Normal"/>
    <w:qFormat/>
    <w:pPr>
      <w:spacing w:before="180" w:after="100"/>
    </w:pPr>
    <w:rPr>
      <w:b/>
      <w:rFonts w:ascii="Arial" w:hAnsi="Arial"/>
      <w:sz w:val="24"/>
    </w:rPr>
  </w:style>
  <w:style w:type="paragraph" w:styleId="BodyText">
    <w:name w:val="Body Text"/>
    <w:basedOn w:val="Normal"/>
    <w:qFormat/>
    <w:pPr>
      <w:spacing w:after="120"/>
    </w:pPr>
    <w:rPr>
      <w:rFonts w:ascii="Arial" w:hAnsi="Arial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Taxonomia Mestre do Mapa da Noite — V1.1</dc:title>
  <dc:creator>Codex</dc:creator>
  <cp:lastModifiedBy>Codex</cp:lastModifiedBy>
  <dcterms:created xsi:type="dcterms:W3CDTF">2026-06-19T07:28:11Z</dcterms:created>
  <dcterms:modified xsi:type="dcterms:W3CDTF">2026-06-19T07:28:11Z</dcterms:modified>
</cp:coreProperties>
</file>