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360" w:firstLine="0"/>
        <w:jc w:val="both"/>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widowControl w:val="0"/>
        <w:spacing w:after="0" w:before="1" w:line="271" w:lineRule="auto"/>
        <w:ind w:left="624" w:right="454" w:hanging="57.00000000000003"/>
        <w:jc w:val="center"/>
        <w:rPr>
          <w:i w:val="1"/>
          <w:iCs w:val="1"/>
        </w:rPr>
      </w:pPr>
      <w:r w:rsidDel="00000000" w:rsidR="00000000" w:rsidRPr="00000000">
        <w:rPr>
          <w:i w:val="1"/>
          <w:iCs w:val="1"/>
          <w:rtl w:val="0"/>
        </w:rPr>
        <w:t xml:space="preserve">DECISION SUPPORT SYSTEM FOR SCHOLARSHIP ELIGIBILITY DETERMINATION USING TSUKAMOTO FUZZY INFERENCE SYSTEM</w:t>
      </w:r>
    </w:p>
    <w:p w:rsidR="00000000" w:rsidDel="00000000" w:rsidP="00000000" w:rsidRDefault="00000000" w:rsidRPr="00000000" w14:paraId="00000003">
      <w:pPr>
        <w:pStyle w:val="Heading1"/>
        <w:widowControl w:val="0"/>
        <w:spacing w:after="0" w:before="1" w:line="271" w:lineRule="auto"/>
        <w:ind w:left="621" w:right="360" w:hanging="57.00000000000003"/>
        <w:jc w:val="center"/>
        <w:rPr/>
      </w:pPr>
      <w:r w:rsidDel="00000000" w:rsidR="00000000" w:rsidRPr="00000000">
        <w:rPr>
          <w:rtl w:val="0"/>
        </w:rPr>
      </w:r>
    </w:p>
    <w:p w:rsidR="00000000" w:rsidDel="00000000" w:rsidP="00000000" w:rsidRDefault="00000000" w:rsidRPr="00000000" w14:paraId="00000004">
      <w:pPr>
        <w:widowControl w:val="0"/>
        <w:spacing w:after="0" w:before="0" w:line="240" w:lineRule="auto"/>
        <w:ind w:left="0" w:right="397" w:firstLine="0"/>
        <w:jc w:val="center"/>
        <w:rPr/>
      </w:pPr>
      <w:r w:rsidDel="00000000" w:rsidR="00000000" w:rsidRPr="00000000">
        <w:rPr>
          <w:b w:val="1"/>
          <w:bCs w:val="1"/>
          <w:i w:val="0"/>
          <w:iCs w:val="0"/>
          <w:strike w:val="0"/>
          <w:color w:val="000000"/>
          <w:sz w:val="20"/>
          <w:szCs w:val="20"/>
          <w:u w:val="none"/>
          <w:rtl w:val="0"/>
        </w:rPr>
        <w:t xml:space="preserve">Naufal Satrio Putra</w:t>
      </w:r>
      <w:r w:rsidDel="00000000" w:rsidR="00000000" w:rsidRPr="00000000">
        <w:rPr>
          <w:b w:val="1"/>
          <w:bCs w:val="1"/>
          <w:i w:val="0"/>
          <w:iCs w:val="0"/>
          <w:strike w:val="0"/>
          <w:color w:val="000000"/>
          <w:sz w:val="20"/>
          <w:szCs w:val="20"/>
          <w:u w:val="none"/>
          <w:vertAlign w:val="superscript"/>
          <w:rtl w:val="0"/>
        </w:rPr>
        <w:t xml:space="preserve">1</w:t>
      </w:r>
      <w:r w:rsidDel="00000000" w:rsidR="00000000" w:rsidRPr="00000000">
        <w:rPr>
          <w:b w:val="1"/>
          <w:bCs w:val="1"/>
          <w:i w:val="0"/>
          <w:iCs w:val="0"/>
          <w:strike w:val="0"/>
          <w:color w:val="000000"/>
          <w:sz w:val="20"/>
          <w:szCs w:val="20"/>
          <w:u w:val="none"/>
          <w:rtl w:val="0"/>
        </w:rPr>
        <w:t xml:space="preserve">, Arzaq Vincent Prasetyo</w:t>
      </w:r>
      <w:r w:rsidDel="00000000" w:rsidR="00000000" w:rsidRPr="00000000">
        <w:rPr>
          <w:b w:val="1"/>
          <w:bCs w:val="1"/>
          <w:i w:val="0"/>
          <w:iCs w:val="0"/>
          <w:strike w:val="0"/>
          <w:color w:val="000000"/>
          <w:sz w:val="20"/>
          <w:szCs w:val="20"/>
          <w:u w:val="none"/>
          <w:vertAlign w:val="superscript"/>
          <w:rtl w:val="0"/>
        </w:rPr>
        <w:t xml:space="preserve">2</w:t>
      </w:r>
      <w:r w:rsidDel="00000000" w:rsidR="00000000" w:rsidRPr="00000000">
        <w:rPr>
          <w:rtl w:val="0"/>
        </w:rPr>
      </w:r>
    </w:p>
    <w:p w:rsidR="00000000" w:rsidDel="00000000" w:rsidP="00000000" w:rsidRDefault="00000000" w:rsidRPr="00000000" w14:paraId="00000005">
      <w:pPr>
        <w:widowControl w:val="0"/>
        <w:spacing w:after="0" w:before="0" w:line="240" w:lineRule="auto"/>
        <w:ind w:left="0" w:right="397" w:firstLine="0"/>
        <w:jc w:val="center"/>
        <w:rPr/>
      </w:pPr>
      <w:r w:rsidDel="00000000" w:rsidR="00000000" w:rsidRPr="00000000">
        <w:rPr>
          <w:rtl w:val="0"/>
        </w:rPr>
      </w:r>
    </w:p>
    <w:p w:rsidR="00000000" w:rsidDel="00000000" w:rsidP="00000000" w:rsidRDefault="00000000" w:rsidRPr="00000000" w14:paraId="00000006">
      <w:pPr>
        <w:widowControl w:val="0"/>
        <w:spacing w:after="0" w:before="0" w:line="240" w:lineRule="auto"/>
        <w:ind w:left="0" w:right="397" w:firstLine="0"/>
        <w:jc w:val="center"/>
        <w:rPr/>
      </w:pPr>
      <w:r w:rsidDel="00000000" w:rsidR="00000000" w:rsidRPr="00000000">
        <w:rPr>
          <w:b w:val="0"/>
          <w:bCs w:val="0"/>
          <w:i w:val="0"/>
          <w:iCs w:val="0"/>
          <w:strike w:val="0"/>
          <w:color w:val="000000"/>
          <w:sz w:val="20"/>
          <w:szCs w:val="20"/>
          <w:u w:val="none"/>
          <w:vertAlign w:val="superscript"/>
          <w:rtl w:val="0"/>
        </w:rPr>
        <w:t xml:space="preserve">1, 2 </w:t>
      </w:r>
      <w:r w:rsidDel="00000000" w:rsidR="00000000" w:rsidRPr="00000000">
        <w:rPr>
          <w:b w:val="0"/>
          <w:bCs w:val="0"/>
          <w:i w:val="0"/>
          <w:iCs w:val="0"/>
          <w:strike w:val="0"/>
          <w:color w:val="000000"/>
          <w:sz w:val="20"/>
          <w:szCs w:val="20"/>
          <w:u w:val="none"/>
          <w:rtl w:val="0"/>
        </w:rPr>
        <w:t xml:space="preserve">Informatics, Engineering Faculty, Universitas Jenderal Soedirman, Indonesia</w:t>
      </w:r>
      <w:r w:rsidDel="00000000" w:rsidR="00000000" w:rsidRPr="00000000">
        <w:rPr>
          <w:rtl w:val="0"/>
        </w:rPr>
      </w:r>
    </w:p>
    <w:p w:rsidR="00000000" w:rsidDel="00000000" w:rsidP="00000000" w:rsidRDefault="00000000" w:rsidRPr="00000000" w14:paraId="00000007">
      <w:pPr>
        <w:widowControl w:val="0"/>
        <w:spacing w:after="0" w:before="0" w:line="240" w:lineRule="auto"/>
        <w:ind w:left="0" w:right="397" w:firstLine="0"/>
        <w:jc w:val="center"/>
        <w:rPr/>
      </w:pPr>
      <w:r w:rsidDel="00000000" w:rsidR="00000000" w:rsidRPr="00000000">
        <w:rPr>
          <w:b w:val="0"/>
          <w:bCs w:val="0"/>
          <w:i w:val="0"/>
          <w:iCs w:val="0"/>
          <w:strike w:val="0"/>
          <w:color w:val="000000"/>
          <w:sz w:val="20"/>
          <w:szCs w:val="20"/>
          <w:u w:val="none"/>
          <w:rtl w:val="0"/>
        </w:rPr>
        <w:t xml:space="preserve">Email: </w:t>
      </w:r>
      <w:hyperlink r:id="rId6">
        <w:r w:rsidDel="00000000" w:rsidR="00000000" w:rsidRPr="00000000">
          <w:rPr>
            <w:b w:val="0"/>
            <w:bCs w:val="0"/>
            <w:i w:val="0"/>
            <w:iCs w:val="0"/>
            <w:strike w:val="0"/>
            <w:color w:val="000080"/>
            <w:sz w:val="20"/>
            <w:szCs w:val="20"/>
            <w:u w:val="single"/>
            <w:vertAlign w:val="superscript"/>
            <w:rtl w:val="0"/>
          </w:rPr>
          <w:t xml:space="preserve">1</w:t>
        </w:r>
      </w:hyperlink>
      <w:hyperlink r:id="rId7">
        <w:r w:rsidDel="00000000" w:rsidR="00000000" w:rsidRPr="00000000">
          <w:rPr>
            <w:b w:val="0"/>
            <w:bCs w:val="0"/>
            <w:i w:val="0"/>
            <w:iCs w:val="0"/>
            <w:strike w:val="0"/>
            <w:color w:val="000080"/>
            <w:sz w:val="20"/>
            <w:szCs w:val="20"/>
            <w:u w:val="single"/>
            <w:rtl w:val="0"/>
          </w:rPr>
          <w:t xml:space="preserve">satrioputra@mhs.unsoed.ac.id</w:t>
        </w:r>
      </w:hyperlink>
      <w:r w:rsidDel="00000000" w:rsidR="00000000" w:rsidRPr="00000000">
        <w:rPr>
          <w:b w:val="0"/>
          <w:bCs w:val="0"/>
          <w:i w:val="0"/>
          <w:iCs w:val="0"/>
          <w:strike w:val="0"/>
          <w:color w:val="000000"/>
          <w:sz w:val="20"/>
          <w:szCs w:val="20"/>
          <w:u w:val="none"/>
          <w:rtl w:val="0"/>
        </w:rPr>
        <w:t xml:space="preserve">, </w:t>
      </w:r>
      <w:hyperlink r:id="rId8">
        <w:r w:rsidDel="00000000" w:rsidR="00000000" w:rsidRPr="00000000">
          <w:rPr>
            <w:b w:val="0"/>
            <w:bCs w:val="0"/>
            <w:i w:val="0"/>
            <w:iCs w:val="0"/>
            <w:strike w:val="0"/>
            <w:color w:val="000080"/>
            <w:sz w:val="20"/>
            <w:szCs w:val="20"/>
            <w:u w:val="single"/>
            <w:vertAlign w:val="superscript"/>
            <w:rtl w:val="0"/>
          </w:rPr>
          <w:t xml:space="preserve">2</w:t>
        </w:r>
      </w:hyperlink>
      <w:hyperlink r:id="rId9">
        <w:r w:rsidDel="00000000" w:rsidR="00000000" w:rsidRPr="00000000">
          <w:rPr>
            <w:b w:val="0"/>
            <w:bCs w:val="0"/>
            <w:i w:val="0"/>
            <w:iCs w:val="0"/>
            <w:strike w:val="0"/>
            <w:color w:val="000080"/>
            <w:sz w:val="20"/>
            <w:szCs w:val="20"/>
            <w:u w:val="single"/>
            <w:rtl w:val="0"/>
          </w:rPr>
          <w:t xml:space="preserve">arzaqvincent@mhs.unsoed.ac.id</w:t>
        </w:r>
      </w:hyperlink>
      <w:r w:rsidDel="00000000" w:rsidR="00000000" w:rsidRPr="00000000">
        <w:rPr>
          <w:rtl w:val="0"/>
        </w:rPr>
      </w:r>
    </w:p>
    <w:p w:rsidR="00000000" w:rsidDel="00000000" w:rsidP="00000000" w:rsidRDefault="00000000" w:rsidRPr="00000000" w14:paraId="00000008">
      <w:pPr>
        <w:widowControl w:val="0"/>
        <w:spacing w:after="0" w:before="0" w:line="240" w:lineRule="auto"/>
        <w:ind w:left="0" w:right="397" w:firstLine="0"/>
        <w:jc w:val="center"/>
        <w:rPr/>
      </w:pPr>
      <w:r w:rsidDel="00000000" w:rsidR="00000000" w:rsidRPr="00000000">
        <w:rPr>
          <w:rtl w:val="0"/>
        </w:rPr>
      </w:r>
    </w:p>
    <w:p w:rsidR="00000000" w:rsidDel="00000000" w:rsidP="00000000" w:rsidRDefault="00000000" w:rsidRPr="00000000" w14:paraId="00000009">
      <w:pPr>
        <w:widowControl w:val="0"/>
        <w:spacing w:after="0" w:before="0" w:line="240" w:lineRule="auto"/>
        <w:ind w:left="0" w:right="397" w:firstLine="0"/>
        <w:jc w:val="center"/>
        <w:rPr/>
      </w:pPr>
      <w:r w:rsidDel="00000000" w:rsidR="00000000" w:rsidRPr="00000000">
        <w:rPr>
          <w:b w:val="0"/>
          <w:bCs w:val="0"/>
          <w:i w:val="0"/>
          <w:iCs w:val="0"/>
          <w:strike w:val="0"/>
          <w:color w:val="000000"/>
          <w:sz w:val="20"/>
          <w:szCs w:val="20"/>
          <w:u w:val="none"/>
          <w:rtl w:val="0"/>
        </w:rPr>
        <w:t xml:space="preserve">(Article received: date; Revision: date; published: date)</w:t>
      </w:r>
      <w:r w:rsidDel="00000000" w:rsidR="00000000" w:rsidRPr="00000000">
        <w:rPr>
          <w:rtl w:val="0"/>
        </w:rPr>
      </w:r>
    </w:p>
    <w:p w:rsidR="00000000" w:rsidDel="00000000" w:rsidP="00000000" w:rsidRDefault="00000000" w:rsidRPr="00000000" w14:paraId="0000000A">
      <w:pPr>
        <w:spacing w:after="0" w:before="0" w:lineRule="auto"/>
        <w:ind w:firstLine="0"/>
        <w:jc w:val="center"/>
        <w:rPr>
          <w:rFonts w:ascii="Times New Roman" w:cs="Times New Roman" w:eastAsia="Times New Roman" w:hAnsi="Times New Roman"/>
          <w:b w:val="0"/>
          <w:bCs w:val="0"/>
          <w:i w:val="0"/>
          <w:iCs w:val="0"/>
          <w:strike w:val="0"/>
          <w:color w:val="000000"/>
          <w:sz w:val="20"/>
          <w:szCs w:val="20"/>
          <w:u w:val="no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both"/>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3"/>
        <w:spacing w:after="0" w:before="115" w:lineRule="auto"/>
        <w:ind w:left="0" w:right="360" w:firstLine="0"/>
        <w:jc w:val="center"/>
        <w:rPr/>
      </w:pPr>
      <w:r w:rsidDel="00000000" w:rsidR="00000000" w:rsidRPr="00000000">
        <w:rPr>
          <w:rtl w:val="0"/>
        </w:rPr>
        <w:t xml:space="preserve">Abstract</w:t>
      </w:r>
    </w:p>
    <w:p w:rsidR="00000000" w:rsidDel="00000000" w:rsidP="00000000" w:rsidRDefault="00000000" w:rsidRPr="00000000" w14:paraId="0000000D">
      <w:pPr>
        <w:widowControl w:val="0"/>
        <w:spacing w:after="0" w:before="65" w:line="250" w:lineRule="auto"/>
        <w:ind w:left="113" w:right="397" w:firstLine="454.00000000000006"/>
        <w:jc w:val="both"/>
        <w:rPr>
          <w:sz w:val="18"/>
          <w:szCs w:val="18"/>
        </w:rPr>
      </w:pPr>
      <w:r w:rsidDel="00000000" w:rsidR="00000000" w:rsidRPr="00000000">
        <w:rPr>
          <w:sz w:val="18"/>
          <w:szCs w:val="18"/>
          <w:rtl w:val="0"/>
        </w:rPr>
        <w:t xml:space="preserve">Scholarship recipient determination is a crucial process requiring objective evaluation of various academic and non-academic criteria. The primary challenge in scholarship selection lies in the presence of subjectivity and the difficulty of mapping imprecise value boundaries. This study aims to develop a Decision Support System using the Tsukamoto Fuzzy Inference System model to determine scholarship applicant eligibility. The input variables used include Grade Point Average (GPA), parental income level, and organizational activity score. The computational process in this system encompasses fuzzy set formation, inference rule application, and the defuzzification process to produce a final eligibility score. Method implementation was carried out through JavaScript-based programming. Test results show that the Tsukamoto model is capable of processing input variables into accurate and transparent decision recommendations. The conclusion of this study affirms that the application of fuzzy logic significantly reduces human evaluation bias and improves the efficiency of the scholarship selection process.</w:t>
      </w:r>
    </w:p>
    <w:p w:rsidR="00000000" w:rsidDel="00000000" w:rsidP="00000000" w:rsidRDefault="00000000" w:rsidRPr="00000000" w14:paraId="0000000E">
      <w:pPr>
        <w:spacing w:after="0" w:before="93" w:lineRule="auto"/>
        <w:ind w:left="141" w:right="360" w:firstLine="0"/>
        <w:jc w:val="both"/>
        <w:rPr>
          <w:sz w:val="18"/>
          <w:szCs w:val="18"/>
        </w:rPr>
      </w:pPr>
      <w:r w:rsidDel="00000000" w:rsidR="00000000" w:rsidRPr="00000000">
        <w:rPr>
          <w:b w:val="1"/>
          <w:bCs w:val="1"/>
          <w:sz w:val="18"/>
          <w:szCs w:val="18"/>
          <w:rtl w:val="0"/>
        </w:rPr>
        <w:t xml:space="preserve">Keywords:</w:t>
      </w:r>
      <w:r w:rsidDel="00000000" w:rsidR="00000000" w:rsidRPr="00000000">
        <w:rPr>
          <w:sz w:val="18"/>
          <w:szCs w:val="18"/>
          <w:rtl w:val="0"/>
        </w:rPr>
        <w:t xml:space="preserve"> Scholarship, Defuzzification, Fuzzy Logic, Decision Support System, Tsukamoto.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360" w:firstLine="0"/>
        <w:jc w:val="both"/>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90169</wp:posOffset>
                </wp:positionH>
                <wp:positionV relativeFrom="paragraph">
                  <wp:posOffset>72390</wp:posOffset>
                </wp:positionV>
                <wp:extent cx="5760085" cy="12700"/>
                <wp:effectExtent b="0" l="0" r="0" t="0"/>
                <wp:wrapTopAndBottom distB="0" distT="0"/>
                <wp:docPr id="2" name=""/>
                <a:graphic>
                  <a:graphicData uri="http://schemas.microsoft.com/office/word/2010/wordprocessingShape">
                    <wps:wsp>
                      <wps:cNvSpPr/>
                      <wps:cNvPr id="3" name="Shape 3"/>
                      <wps:spPr>
                        <a:xfrm>
                          <a:off x="2466000" y="3775320"/>
                          <a:ext cx="5760000" cy="9360"/>
                        </a:xfrm>
                        <a:custGeom>
                          <a:rect b="b" l="l" r="r" t="t"/>
                          <a:pathLst>
                            <a:path extrusionOk="0" h="9525" w="5760085">
                              <a:moveTo>
                                <a:pt x="5760000" y="9525"/>
                              </a:moveTo>
                              <a:lnTo>
                                <a:pt x="0" y="9525"/>
                              </a:lnTo>
                              <a:lnTo>
                                <a:pt x="0" y="0"/>
                              </a:lnTo>
                              <a:lnTo>
                                <a:pt x="5760000" y="0"/>
                              </a:lnTo>
                              <a:lnTo>
                                <a:pt x="5760000" y="9525"/>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90169</wp:posOffset>
                </wp:positionH>
                <wp:positionV relativeFrom="paragraph">
                  <wp:posOffset>72390</wp:posOffset>
                </wp:positionV>
                <wp:extent cx="5760085"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60" w:firstLine="0"/>
        <w:jc w:val="both"/>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sectPr>
          <w:headerReference r:id="rId11" w:type="default"/>
          <w:headerReference r:id="rId12" w:type="even"/>
          <w:footerReference r:id="rId13" w:type="default"/>
          <w:footerReference r:id="rId14" w:type="even"/>
          <w:pgSz w:h="16838" w:w="11906" w:orient="portrait"/>
          <w:pgMar w:bottom="660" w:top="1599" w:left="1559" w:right="714" w:header="0" w:footer="478"/>
          <w:pgNumType w:start="1"/>
        </w:sect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2"/>
        <w:numPr>
          <w:ilvl w:val="0"/>
          <w:numId w:val="2"/>
        </w:numPr>
        <w:tabs>
          <w:tab w:val="left" w:leader="none" w:pos="341"/>
        </w:tabs>
        <w:spacing w:after="0" w:before="0" w:line="240" w:lineRule="auto"/>
        <w:ind w:left="341" w:right="0" w:hanging="200"/>
        <w:jc w:val="left"/>
        <w:rPr/>
      </w:pPr>
      <w:r w:rsidDel="00000000" w:rsidR="00000000" w:rsidRPr="00000000">
        <w:rPr>
          <w:rtl w:val="0"/>
        </w:rPr>
        <w:t xml:space="preserve">INTRODUCTION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41" w:right="38" w:firstLine="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Scholarship allocation in higher education institutions is a critical initiative designed to provide equitable educational access for students who demonstrate academic excellence alongside financial limitations. Despite its importance, the selection process is often complicated by the large number of applicants and the multi-faceted nature of evaluation criteria. Traditional assessment methods often rely on rigid thresholds or subjective human judgment, which can introduce implicit bias and lead to suboptimal allocation of limited resources. The primary challenge lies in the ambiguous boundaries between different evaluation categories; for example, determining the precise mathematical difference between a "middle" and "low" parental income boundary, or between a "sufficient" versus "active" organizational activity score [1].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90" w:line="240" w:lineRule="auto"/>
        <w:ind w:left="113" w:right="0" w:firstLine="454.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minimize such inefficiencies, Decision Support Systems (DSS) have been increasingly adopted in academic administration [2]. DSS provides a structured framework that assists decision-makers in evaluating complex datasets, thereby enhancing transparency and objectivity of outcomes. Within the DSS domain, Fuzzy Logic — particularly the Fuzzy Inference System (FIS) — has emerged as a highly effective mathematical approach [3]. Unlike Boolean logic that strictly operates on a true/false binary paradigm, fuzzy logic accommodates degrees of truth. This closely aligns with human reasoning, enabling the system to process qualitative linguistic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90" w:line="240" w:lineRule="auto"/>
        <w:ind w:left="113" w:right="-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variables logically [5]. This study implements the Tsukamoto model of the Fuzzy Inference System to build a robust scholarship build a robust scholarship eligibility DSS [4]. The Tsukamoto method 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90" w:line="240" w:lineRule="auto"/>
        <w:ind w:left="113" w:right="-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particularly advantageous because each rule consequent is represented by a monotone fuzzy set with a linearly changing membership function [6]. This enables the defuzzification process to be computed efficiently using a weighted average, which is highly suitable for programmatic implementation, such as the JavaScript-based engine used in this study. The primary objective of this research is to evaluate how effectively the Tsukamoto FIS integrates GPA, parental income, and organizational activity into a single transparent eligibility score.</w:t>
      </w:r>
    </w:p>
    <w:p w:rsidR="00000000" w:rsidDel="00000000" w:rsidP="00000000" w:rsidRDefault="00000000" w:rsidRPr="00000000" w14:paraId="00000017">
      <w:pPr>
        <w:pStyle w:val="Heading2"/>
        <w:numPr>
          <w:ilvl w:val="0"/>
          <w:numId w:val="2"/>
        </w:numPr>
        <w:tabs>
          <w:tab w:val="left" w:leader="none" w:pos="341"/>
        </w:tabs>
        <w:spacing w:after="0" w:before="210" w:line="240" w:lineRule="auto"/>
        <w:ind w:left="341" w:right="0" w:hanging="200"/>
        <w:jc w:val="left"/>
        <w:rPr/>
      </w:pPr>
      <w:r w:rsidDel="00000000" w:rsidR="00000000" w:rsidRPr="00000000">
        <w:rPr>
          <w:rtl w:val="0"/>
        </w:rPr>
        <w:t xml:space="preserve">RESEARCH METHODS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70" w:right="-57" w:firstLine="39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methodology used in this study follows the standard Fuzzy Inference System architecture, divided into three main computational phases: Fuzzification, Rule Evaluation (Inference), and Defuzzification. The system is designed to evaluate three crisp input variables and produce one crisp output variable to determine the applicant's eligibility status.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3" w:right="0" w:firstLine="454.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research stages are structured sequentially as follows. (1) Problem Identification: identifying the limitations of conventional scholarship selection methods, particularly subjectivity and ambiguous evaluation boundaries. (2) Literature Review: reviewing previous studies on fuzzy logic, the Tsukamoto Fuzzy Inference System, and Decision Support Systems for scholarship selection. (3) System Design: defining input variables (GPA, Parental Income, Organizational Activity), output variable (Eligibility Score), and membership function parameters. (4) Fuzzification: converting crisp input values into fuzzy membership degrees using ascending linear, descending linear, and triangular membership functions. (5) Rule Base Construction: formulating IF-THEN inference rules based on academic administration standards. (6) Inference Process: applying the Tsukamoto model to calculate the firing strength (alpha-predicate) for each rule using the MIN operator. (7) Defuzzification: converting fuzzy outputs into a crisp eligibility score using the Weighted Average method. (8) Implementation: developing the system using JavaScript for cross-platform web integration. (9) Testing and Validation: simulating multiple applicant profiles to verify the accuracy and consistency of the system output. (10) Analysis and Conclusion: evaluating results against existing methods and drawing conclusions on system effectiveness.</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90" w:line="240" w:lineRule="auto"/>
        <w:ind w:left="340" w:right="227"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Input and Output Variables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4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The system uses the following variables, determined based on university scholarship criteria standards: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4"/>
        </w:tabs>
        <w:spacing w:after="0" w:before="121" w:line="240" w:lineRule="auto"/>
        <w:ind w:left="113" w:right="4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Input 1: Grade Point Average (GPA).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Range: 0.00 to 4.00. Categorized into three linguistic sets: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Low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Medium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High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5"/>
        </w:tabs>
        <w:spacing w:after="0" w:before="120" w:line="240" w:lineRule="auto"/>
        <w:ind w:left="113" w:right="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Input 2: Parental Income.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Range: 0 to 10,000,000 (IDR). Categorized into three linguistic sets: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Low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Medium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High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s>
        <w:spacing w:after="0" w:before="120" w:line="240" w:lineRule="auto"/>
        <w:ind w:left="113" w:right="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Input 3: Organizational Activity.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Range: 0 to 100 (Score). Categorized into two linguistic sets: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Passive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Active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0" w:before="120" w:line="240" w:lineRule="auto"/>
        <w:ind w:left="113" w:right="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Output: Eligibility Score.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Range: 0 to 100. Categorized into three linguistic sets: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 Eligible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Under Consideration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Eligible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90" w:line="240" w:lineRule="auto"/>
        <w:ind w:left="397" w:right="227" w:hanging="57.00000000000003"/>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Fuzzification Process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4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Fuzzification is the process of mapping crisp input values into fuzzy membership degrees (μ) using membership functions [7]. This system uses ascending linear, descending linear, and triangular membership functions. As an example, the membership function for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High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GPA is computed using an ascending linear function where values approaching 4.00 approach a membership degree of 1.0.</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90" w:line="240" w:lineRule="auto"/>
        <w:ind w:left="340" w:right="227"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Inference Engine (Tsukamoto Model)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4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The inference engine processes fuzzy inputs using a set of IF-THEN rules constructed through consultation with academic administration standards.The Tsukamoto method requires that the consequent of each rule be a monotone ascending or descending function [4]. The firing strength (α-predicate) for each rule is determined using the intersection operator (MIN) [9]. An example rule is formulated as follows.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1"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 xml:space="preserve">[Rule 1] IF (GPA is High) AND (Income is Low) AND (Activity is Active) THEN (Eligibility Score is Eligible).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1"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 xml:space="preserve">[Aturan 1] IF (IPK adalah Tinggi) AND (Pendapatan adalah Rendah) AND (Keaktifan adalah Aktif) THEN (Skor Kelayakan adalah Layak).</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1"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 xml:space="preserve">[Aturan 2 - Ekstrem Bawah] IF (IPK adalah Rendah) AND (Pendapatan adalah Tinggi) AND (Keaktifan adalah Pasif) THEN (Skor Kelayakan adalah Tidak Layak).</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1"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 xml:space="preserve">[Aturan 3 - Menengah] IF (IPK adalah Sedang) AND (Pendapatan adalah Sedang) AND (Keaktifan adalah Aktif) THEN (Skor Kelayakan adalah Dipertimbangkan).</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1"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 xml:space="preserve">[Aturan 4 - Kasus Khusus] IF (IPK adalah Tinggi) AND (Pendapatan adalah Tinggi) AND (Keaktifan adalah Aktif) THEN (Skor Kelayakan adalah Dipertimbangkan).</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1"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 xml:space="preserve">[Aturan 5 - Kasus Khusus] IF (IPK adalah Sedang) AND (Pendapatan adalah Rendah) AND (Keaktifan adalah Pasif) THEN (Skor Kelayakan adalah Dipertimbangkan).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4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this rule, the crisp output value (Z1) is extracted by back-mapping the α-predicate value into the monotone consequent function of the "Eligible" set.</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90" w:line="240" w:lineRule="auto"/>
        <w:ind w:left="113" w:right="227" w:firstLine="17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Defuzzification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1" w:right="38" w:firstLine="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final computational step converts the fuzzy output back into a crisp numerical value interpretable by the decision-maker. In the Tsukamoto model, defuzzification is executed using the Weighted Average method [12]. The formula is expressed mathematically as follows.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1" w:right="38" w:firstLine="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Z = Σ(α</w:t>
      </w:r>
      <w:r w:rsidDel="00000000" w:rsidR="00000000" w:rsidRPr="00000000">
        <w:rPr>
          <w:rFonts w:ascii="Times New Roman" w:cs="Times New Roman" w:eastAsia="Times New Roman" w:hAnsi="Times New Roman"/>
          <w:b w:val="0"/>
          <w:bCs w:val="0"/>
          <w:i w:val="1"/>
          <w:iCs w:val="1"/>
          <w:smallCaps w:val="0"/>
          <w:strike w:val="0"/>
          <w:color w:val="000000"/>
          <w:sz w:val="30"/>
          <w:szCs w:val="30"/>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Z</w:t>
      </w:r>
      <w:r w:rsidDel="00000000" w:rsidR="00000000" w:rsidRPr="00000000">
        <w:rPr>
          <w:rFonts w:ascii="Times New Roman" w:cs="Times New Roman" w:eastAsia="Times New Roman" w:hAnsi="Times New Roman"/>
          <w:b w:val="0"/>
          <w:bCs w:val="0"/>
          <w:i w:val="1"/>
          <w:iCs w:val="1"/>
          <w:smallCaps w:val="0"/>
          <w:strike w:val="0"/>
          <w:color w:val="000000"/>
          <w:sz w:val="30"/>
          <w:szCs w:val="30"/>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 Σα</w:t>
      </w:r>
      <w:r w:rsidDel="00000000" w:rsidR="00000000" w:rsidRPr="00000000">
        <w:rPr>
          <w:rFonts w:ascii="Times New Roman" w:cs="Times New Roman" w:eastAsia="Times New Roman" w:hAnsi="Times New Roman"/>
          <w:b w:val="0"/>
          <w:bCs w:val="0"/>
          <w:i w:val="1"/>
          <w:iCs w:val="1"/>
          <w:smallCaps w:val="0"/>
          <w:strike w:val="0"/>
          <w:color w:val="000000"/>
          <w:sz w:val="30"/>
          <w:szCs w:val="30"/>
          <w:u w:val="none"/>
          <w:shd w:fill="auto" w:val="clear"/>
          <w:vertAlign w:val="subscript"/>
          <w:rtl w:val="0"/>
        </w:rPr>
        <w:t xml:space="preserve">i</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38" w:lineRule="auto"/>
        <w:ind w:left="17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αi represents the firing strength of the rule (predicate degree) and Zi is the crisp consequent of the i-th rule.</w:t>
      </w:r>
    </w:p>
    <w:p w:rsidR="00000000" w:rsidDel="00000000" w:rsidP="00000000" w:rsidRDefault="00000000" w:rsidRPr="00000000" w14:paraId="0000002F">
      <w:pPr>
        <w:pStyle w:val="Heading2"/>
        <w:numPr>
          <w:ilvl w:val="0"/>
          <w:numId w:val="2"/>
        </w:numPr>
        <w:tabs>
          <w:tab w:val="left" w:leader="none" w:pos="341"/>
        </w:tabs>
        <w:spacing w:after="0" w:before="208" w:line="240" w:lineRule="auto"/>
        <w:ind w:left="341" w:right="0" w:hanging="200"/>
        <w:jc w:val="both"/>
        <w:rPr/>
      </w:pPr>
      <w:r w:rsidDel="00000000" w:rsidR="00000000" w:rsidRPr="00000000">
        <w:rPr>
          <w:rtl w:val="0"/>
        </w:rPr>
        <w:t xml:space="preserve">RESULTS AND DISCUSSION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70" w:right="57" w:firstLine="39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was implemented and tested using a dedicated JavaScript algorithm to validate the mathematical model. JavaScript was selected for its cross-platform compatibility and ease of integration into web-based administrative dashboards.</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90" w:line="240" w:lineRule="auto"/>
        <w:ind w:left="89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Implementasi Details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70" w:right="0" w:firstLine="45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core logic handles array mapping and dynamic calculation of α-predicates. Below is a JavaScript code snippet demonstrating the manual computational logic of Tsukamoto defuzzification without third-party libraries: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70" w:right="0" w:firstLine="45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4057.0" w:type="dxa"/>
        <w:jc w:val="right"/>
        <w:tblLayout w:type="fixed"/>
        <w:tblLook w:val="0000"/>
      </w:tblPr>
      <w:tblGrid>
        <w:gridCol w:w="4057"/>
        <w:tblGridChange w:id="0">
          <w:tblGrid>
            <w:gridCol w:w="40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5" w:lineRule="auto"/>
              <w:ind w:left="89"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function calculateTsukamotoFuzzyfication(alphaArray, zArray)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473" w:right="1791"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let pembilang = 0; let penyebut = 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5" w:lineRule="auto"/>
              <w:ind w:left="89" w:right="0" w:firstLine="384"/>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for (let i = 0; i &lt; alphaArray.length; 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89" w:right="0" w:firstLine="768"/>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pembilang += (alphaArray[i] * zArray[i]);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857"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penyebut += alphaArray[i];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3"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473" w:right="544"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Mencegah pembagian dengan nol if (penyebut === 0) return 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89" w:right="544" w:firstLine="384"/>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let skorAkhir = pembilang / penyebut;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473"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return skorAkhir;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9"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7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90" w:line="240" w:lineRule="auto"/>
        <w:ind w:left="89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System Testing and Output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70" w:right="0" w:firstLine="45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evaluate the system, simulation data from several applicant profiles were processed. The objective was to verify that the fuzzy rule base correctly prioritized applicants with high academic performance and low economic capacity. Table 1 presents the testing scenarios for three hypothetical candidates.</w:t>
      </w:r>
    </w:p>
    <w:p w:rsidR="00000000" w:rsidDel="00000000" w:rsidP="00000000" w:rsidRDefault="00000000" w:rsidRPr="00000000" w14:paraId="00000043">
      <w:pPr>
        <w:spacing w:after="0" w:before="180" w:lineRule="auto"/>
        <w:ind w:left="1965" w:right="268" w:hanging="1739"/>
        <w:jc w:val="center"/>
        <w:rPr/>
      </w:pPr>
      <w:r w:rsidDel="00000000" w:rsidR="00000000" w:rsidRPr="00000000">
        <w:rPr>
          <w:sz w:val="16"/>
          <w:szCs w:val="16"/>
          <w:rtl w:val="0"/>
        </w:rPr>
        <w:t xml:space="preserve">Tabel 1.  Sample Simulation Results of Candidate Eligibility</w:t>
      </w:r>
      <w:r w:rsidDel="00000000" w:rsidR="00000000" w:rsidRPr="00000000">
        <w:rPr>
          <w:rtl w:val="0"/>
        </w:rPr>
      </w:r>
    </w:p>
    <w:tbl>
      <w:tblPr>
        <w:tblStyle w:val="Table2"/>
        <w:tblW w:w="4136.0" w:type="dxa"/>
        <w:jc w:val="right"/>
        <w:tblLayout w:type="fixed"/>
        <w:tblLook w:val="0000"/>
      </w:tblPr>
      <w:tblGrid>
        <w:gridCol w:w="553"/>
        <w:gridCol w:w="631"/>
        <w:gridCol w:w="805"/>
        <w:gridCol w:w="711"/>
        <w:gridCol w:w="726"/>
        <w:gridCol w:w="710"/>
        <w:tblGridChange w:id="0">
          <w:tblGrid>
            <w:gridCol w:w="553"/>
            <w:gridCol w:w="631"/>
            <w:gridCol w:w="805"/>
            <w:gridCol w:w="711"/>
            <w:gridCol w:w="726"/>
            <w:gridCol w:w="710"/>
          </w:tblGrid>
        </w:tblGridChange>
      </w:tblGrid>
      <w:tr>
        <w:trPr>
          <w:cantSplit w:val="0"/>
          <w:trHeight w:val="679" w:hRule="atLeast"/>
          <w:tblHeader w:val="0"/>
        </w:trPr>
        <w:tc>
          <w:tcPr>
            <w:tcBorders>
              <w:top w:color="999999" w:space="0" w:sz="4" w:val="single"/>
              <w:left w:color="999999" w:space="0" w:sz="4" w:val="single"/>
              <w:bottom w:color="999999" w:space="0" w:sz="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Application</w:t>
              <w:br w:type="textWrapping"/>
              <w:t xml:space="preserve">ID</w:t>
            </w:r>
          </w:p>
        </w:tc>
        <w:tc>
          <w:tcPr>
            <w:tcBorders>
              <w:top w:color="999999" w:space="0" w:sz="4" w:val="single"/>
              <w:left w:color="999999" w:space="0" w:sz="4" w:val="single"/>
              <w:bottom w:color="999999" w:space="0" w:sz="4"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75" w:right="63" w:firstLine="16.999999999999993"/>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GPA (0-4)</w:t>
            </w:r>
            <w:r w:rsidDel="00000000" w:rsidR="00000000" w:rsidRPr="00000000">
              <w:rPr>
                <w:rtl w:val="0"/>
              </w:rPr>
            </w:r>
          </w:p>
        </w:tc>
        <w:tc>
          <w:tcPr>
            <w:tcBorders>
              <w:top w:color="999999" w:space="0" w:sz="4" w:val="single"/>
              <w:left w:color="999999" w:space="0" w:sz="4" w:val="single"/>
              <w:bottom w:color="999999" w:space="0" w:sz="4"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83"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Income</w:t>
              <w:br w:type="textWrapping"/>
              <w:t xml:space="preserve">(IDR)</w:t>
            </w:r>
          </w:p>
        </w:tc>
        <w:tc>
          <w:tcPr>
            <w:tcBorders>
              <w:top w:color="999999" w:space="0" w:sz="4" w:val="single"/>
              <w:left w:color="999999" w:space="0" w:sz="4" w:val="single"/>
              <w:bottom w:color="999999" w:space="0" w:sz="4"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9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Acitviy (0-100)</w:t>
            </w:r>
            <w:r w:rsidDel="00000000" w:rsidR="00000000" w:rsidRPr="00000000">
              <w:rPr>
                <w:rtl w:val="0"/>
              </w:rPr>
            </w:r>
          </w:p>
        </w:tc>
        <w:tc>
          <w:tcPr>
            <w:tcBorders>
              <w:top w:color="999999" w:space="0" w:sz="4" w:val="single"/>
              <w:left w:color="999999" w:space="0" w:sz="4" w:val="single"/>
              <w:bottom w:color="999999" w:space="0" w:sz="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54" w:right="41" w:hanging="0.9999999999999964"/>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Skor Akhir (Z)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Decision Recomendation</w:t>
            </w:r>
            <w:r w:rsidDel="00000000" w:rsidR="00000000" w:rsidRPr="00000000">
              <w:rPr>
                <w:rtl w:val="0"/>
              </w:rPr>
            </w:r>
          </w:p>
        </w:tc>
      </w:tr>
      <w:tr>
        <w:trPr>
          <w:cantSplit w:val="0"/>
          <w:tblHeader w:val="0"/>
        </w:trPr>
        <w:tc>
          <w:tcPr>
            <w:tcBorders>
              <w:left w:color="999999" w:space="0" w:sz="4" w:val="single"/>
              <w:bottom w:color="999999"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A-001</w:t>
            </w:r>
            <w:r w:rsidDel="00000000" w:rsidR="00000000" w:rsidRPr="00000000">
              <w:rPr>
                <w:rtl w:val="0"/>
              </w:rPr>
            </w:r>
          </w:p>
        </w:tc>
        <w:tc>
          <w:tcPr>
            <w:tcBorders>
              <w:left w:color="999999" w:space="0" w:sz="4" w:val="single"/>
              <w:bottom w:color="999999"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3.85</w:t>
            </w:r>
            <w:r w:rsidDel="00000000" w:rsidR="00000000" w:rsidRPr="00000000">
              <w:rPr>
                <w:rtl w:val="0"/>
              </w:rPr>
            </w:r>
          </w:p>
        </w:tc>
        <w:tc>
          <w:tcPr>
            <w:tcBorders>
              <w:left w:color="999999" w:space="0" w:sz="4" w:val="single"/>
              <w:bottom w:color="999999" w:space="0" w:sz="4"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1.500.000</w:t>
            </w:r>
            <w:r w:rsidDel="00000000" w:rsidR="00000000" w:rsidRPr="00000000">
              <w:rPr>
                <w:rtl w:val="0"/>
              </w:rPr>
            </w:r>
          </w:p>
        </w:tc>
        <w:tc>
          <w:tcPr>
            <w:tcBorders>
              <w:left w:color="999999" w:space="0" w:sz="4" w:val="single"/>
              <w:bottom w:color="999999"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1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85</w:t>
            </w:r>
            <w:r w:rsidDel="00000000" w:rsidR="00000000" w:rsidRPr="00000000">
              <w:rPr>
                <w:rtl w:val="0"/>
              </w:rPr>
            </w:r>
          </w:p>
        </w:tc>
        <w:tc>
          <w:tcPr>
            <w:tcBorders>
              <w:left w:color="999999" w:space="0" w:sz="4" w:val="single"/>
              <w:bottom w:color="999999" w:space="0" w:sz="4"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88.4</w:t>
            </w:r>
            <w:r w:rsidDel="00000000" w:rsidR="00000000" w:rsidRPr="00000000">
              <w:rPr>
                <w:rtl w:val="0"/>
              </w:rPr>
            </w:r>
          </w:p>
        </w:tc>
        <w:tc>
          <w:tcPr>
            <w:tcBorders>
              <w:left w:color="999999" w:space="0" w:sz="4" w:val="single"/>
              <w:bottom w:color="999999" w:space="0" w:sz="4" w:val="single"/>
              <w:right w:color="999999"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1"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Highly Eligible</w:t>
            </w:r>
          </w:p>
        </w:tc>
      </w:tr>
      <w:tr>
        <w:trPr>
          <w:cantSplit w:val="0"/>
          <w:tblHeader w:val="0"/>
        </w:trPr>
        <w:tc>
          <w:tcPr>
            <w:tcBorders>
              <w:left w:color="999999" w:space="0" w:sz="4" w:val="single"/>
              <w:bottom w:color="999999" w:space="0" w:sz="4"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A-002</w:t>
            </w:r>
            <w:r w:rsidDel="00000000" w:rsidR="00000000" w:rsidRPr="00000000">
              <w:rPr>
                <w:rtl w:val="0"/>
              </w:rPr>
            </w:r>
          </w:p>
        </w:tc>
        <w:tc>
          <w:tcPr>
            <w:tcBorders>
              <w:left w:color="999999" w:space="0" w:sz="4" w:val="single"/>
              <w:bottom w:color="999999" w:space="0" w:sz="4"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3.10</w:t>
            </w:r>
            <w:r w:rsidDel="00000000" w:rsidR="00000000" w:rsidRPr="00000000">
              <w:rPr>
                <w:rtl w:val="0"/>
              </w:rPr>
            </w:r>
          </w:p>
        </w:tc>
        <w:tc>
          <w:tcPr>
            <w:tcBorders>
              <w:left w:color="999999" w:space="0" w:sz="4" w:val="single"/>
              <w:bottom w:color="999999" w:space="0" w:sz="4"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4.500.000</w:t>
            </w:r>
            <w:r w:rsidDel="00000000" w:rsidR="00000000" w:rsidRPr="00000000">
              <w:rPr>
                <w:rtl w:val="0"/>
              </w:rPr>
            </w:r>
          </w:p>
        </w:tc>
        <w:tc>
          <w:tcPr>
            <w:tcBorders>
              <w:left w:color="999999" w:space="0" w:sz="4" w:val="single"/>
              <w:bottom w:color="999999" w:space="0" w:sz="4"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1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w:t>
            </w:r>
            <w:r w:rsidDel="00000000" w:rsidR="00000000" w:rsidRPr="00000000">
              <w:rPr>
                <w:rtl w:val="0"/>
              </w:rPr>
            </w:r>
          </w:p>
        </w:tc>
        <w:tc>
          <w:tcPr>
            <w:tcBorders>
              <w:left w:color="999999" w:space="0" w:sz="4" w:val="single"/>
              <w:bottom w:color="999999" w:space="0" w:sz="4"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52.7</w:t>
            </w:r>
            <w:r w:rsidDel="00000000" w:rsidR="00000000" w:rsidRPr="00000000">
              <w:rPr>
                <w:rtl w:val="0"/>
              </w:rPr>
            </w:r>
          </w:p>
        </w:tc>
        <w:tc>
          <w:tcPr>
            <w:tcBorders>
              <w:left w:color="999999" w:space="0" w:sz="4" w:val="single"/>
              <w:bottom w:color="999999" w:space="0" w:sz="4" w:val="single"/>
              <w:right w:color="999999" w:space="0" w:sz="4"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1"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Under Consideration</w:t>
            </w:r>
          </w:p>
        </w:tc>
      </w:tr>
      <w:tr>
        <w:trPr>
          <w:cantSplit w:val="0"/>
          <w:tblHeader w:val="0"/>
        </w:trPr>
        <w:tc>
          <w:tcPr>
            <w:tcBorders>
              <w:left w:color="999999" w:space="0" w:sz="4" w:val="single"/>
              <w:bottom w:color="999999" w:space="0" w:sz="4"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A-003</w:t>
            </w:r>
            <w:r w:rsidDel="00000000" w:rsidR="00000000" w:rsidRPr="00000000">
              <w:rPr>
                <w:rtl w:val="0"/>
              </w:rPr>
            </w:r>
          </w:p>
        </w:tc>
        <w:tc>
          <w:tcPr>
            <w:tcBorders>
              <w:left w:color="999999" w:space="0" w:sz="4" w:val="single"/>
              <w:bottom w:color="999999" w:space="0" w:sz="4"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2.50</w:t>
            </w:r>
            <w:r w:rsidDel="00000000" w:rsidR="00000000" w:rsidRPr="00000000">
              <w:rPr>
                <w:rtl w:val="0"/>
              </w:rPr>
            </w:r>
          </w:p>
        </w:tc>
        <w:tc>
          <w:tcPr>
            <w:tcBorders>
              <w:left w:color="999999" w:space="0" w:sz="4" w:val="single"/>
              <w:bottom w:color="999999" w:space="0" w:sz="4"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8.000.000</w:t>
            </w:r>
            <w:r w:rsidDel="00000000" w:rsidR="00000000" w:rsidRPr="00000000">
              <w:rPr>
                <w:rtl w:val="0"/>
              </w:rPr>
            </w:r>
          </w:p>
        </w:tc>
        <w:tc>
          <w:tcPr>
            <w:tcBorders>
              <w:left w:color="999999" w:space="0" w:sz="4" w:val="single"/>
              <w:bottom w:color="999999" w:space="0" w:sz="4"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1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20</w:t>
            </w:r>
            <w:r w:rsidDel="00000000" w:rsidR="00000000" w:rsidRPr="00000000">
              <w:rPr>
                <w:rtl w:val="0"/>
              </w:rPr>
            </w:r>
          </w:p>
        </w:tc>
        <w:tc>
          <w:tcPr>
            <w:tcBorders>
              <w:left w:color="999999" w:space="0" w:sz="4" w:val="single"/>
              <w:bottom w:color="999999"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15.2</w:t>
            </w:r>
            <w:r w:rsidDel="00000000" w:rsidR="00000000" w:rsidRPr="00000000">
              <w:rPr>
                <w:rtl w:val="0"/>
              </w:rPr>
            </w:r>
          </w:p>
        </w:tc>
        <w:tc>
          <w:tcPr>
            <w:tcBorders>
              <w:left w:color="999999" w:space="0" w:sz="4" w:val="single"/>
              <w:bottom w:color="999999" w:space="0" w:sz="4" w:val="single"/>
              <w:right w:color="999999" w:space="0" w:sz="4"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31"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Not Eligible</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7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90" w:line="240" w:lineRule="auto"/>
        <w:ind w:left="890" w:right="0" w:hanging="3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Discussion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1" w:right="41" w:firstLine="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results outlined in Table 1 demonstrate the robustness of the Tsukamoto FIS. Applicant A-001, who shows a strong academic record, high organizational involvement, and falls within the low-income bracket, received a high eligibility score (88.4). In contrast, Applicant A-002, who falls at the "Medium" category boundary for all variables, produced a balanced score (52.7), placing them in the "Under Consideration" group. This continuous scoring mechanism proves superior to Boolean threshold systems, where an applicant missing the GPA cutoff by 0.01 could be immediately disqualified without proportionally considering financial factors.</w:t>
      </w:r>
    </w:p>
    <w:p w:rsidR="00000000" w:rsidDel="00000000" w:rsidP="00000000" w:rsidRDefault="00000000" w:rsidRPr="00000000" w14:paraId="00000060">
      <w:pPr>
        <w:pStyle w:val="Heading2"/>
        <w:numPr>
          <w:ilvl w:val="0"/>
          <w:numId w:val="2"/>
        </w:numPr>
        <w:tabs>
          <w:tab w:val="left" w:leader="none" w:pos="341"/>
        </w:tabs>
        <w:spacing w:after="0" w:before="210" w:line="240" w:lineRule="auto"/>
        <w:ind w:left="341" w:right="0" w:hanging="200"/>
        <w:jc w:val="both"/>
        <w:rPr/>
      </w:pPr>
      <w:r w:rsidDel="00000000" w:rsidR="00000000" w:rsidRPr="00000000">
        <w:rPr>
          <w:rtl w:val="0"/>
        </w:rPr>
        <w:t xml:space="preserve">DISCUSSION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1" w:right="4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Analysis of the computational results indicates that the Tsukamoto model successfully maps qualitative criteria into transparent quantitative decisions [15]. Compared to prior studies using the Mamdani method, the Tsukamoto model offers higher computational efficiency as it does not require complex numerical area integration in the defuzzification phase, relying instead only on linear weighted average arithmetic operations [21]. However, the flexibility of this model is highly dependent on the accurate determination of monotone membership functions at the initial design stage. Errors in setting the coordinate points of linear functions can cause significant shifts in the final output values, making historical data calibration strongly recommended for future system development [23].</w:t>
      </w:r>
    </w:p>
    <w:p w:rsidR="00000000" w:rsidDel="00000000" w:rsidP="00000000" w:rsidRDefault="00000000" w:rsidRPr="00000000" w14:paraId="00000062">
      <w:pPr>
        <w:pStyle w:val="Heading2"/>
        <w:numPr>
          <w:ilvl w:val="0"/>
          <w:numId w:val="2"/>
        </w:numPr>
        <w:tabs>
          <w:tab w:val="left" w:leader="none" w:pos="341"/>
        </w:tabs>
        <w:spacing w:after="0" w:before="210" w:line="240" w:lineRule="auto"/>
        <w:ind w:left="341" w:right="0" w:hanging="200"/>
        <w:jc w:val="both"/>
        <w:rPr/>
      </w:pPr>
      <w:r w:rsidDel="00000000" w:rsidR="00000000" w:rsidRPr="00000000">
        <w:rPr>
          <w:rtl w:val="0"/>
        </w:rPr>
        <w:t xml:space="preserve">CONCLUSION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41" w:right="3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This study successfully developed and implemented a Decision Support System for scholarship eligibility determination using the Tsukamoto Fuzzy Inference System model. The system architecture built upon three primary inputs (GPA, Parental Income, and Organizational Activity) proved effective in managing the linguistic ambiguity inherent in the academic evaluation process. The application of the weighted average defuzzification method provides a fast and valid computational approach to generate actionable crisp eligibility scores. The JavaScript-based implementation confirms the feasibility of this method for integration into modern administrative software environments. Overall, this system significantly reduces subjective human bias, offering a transparent, fair, and efficient solution for scholarship distribution in higher education.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41" w:right="38"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ACKNOWLEDGEMENTS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70" w:right="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The authors express their deepest gratitude to the Department of Informatics, Faculty of Engineering, Universitas Jenderal Soedirman for providing academic facilities and guidance that enabled the successful completion of this scientific article.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70" w:right="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BLIBIOGRAPHY</w:t>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0"/>
          <w:tab w:val="left" w:leader="none" w:pos="563"/>
          <w:tab w:val="left" w:leader="none" w:pos="963"/>
        </w:tabs>
        <w:spacing w:after="0" w:before="155" w:line="250" w:lineRule="auto"/>
        <w:ind w:left="454" w:right="57"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 Bintan, A. A. Dh, and K. Shaleh, "Penentuan Penerima Beasiswa Menggunakan Metode Fuzzy Tsukamoto,"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Repeater: Publikasi Teknik Informatika Dan Jaringan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4, no. 1, pp. 61–68, 2026.</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57"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Anwar, "Decision Support System for Selection of Scholarship Recipient Students Using Tsukamoto Method Fuzzy Logic,"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IJISTECH (International Journal of Information System and Technology)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8, no. 1, 2018.</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57"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Arifitama, "Decision Support System Scholarship Selection Using Simple Additive Weighting (SAW) Method,"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JISA (Jurnal Informatika dan Sains)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4, 2025.</w:t>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57"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 D. Antoni and Y. Findawati, "Decision Support System for Determining Student Specialization Using Fuzzy Tsukamoto and TOPSIS Methods,"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J-Icon: Jurnal Komputer dan Informatika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2, no. 3, pp. 150–159, 2026.</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57"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 N. Dellas, I. Purnamasari, and N. A. Rizki, "Fuzzy Inference System Using Tsukamoto Method For Making Decision of Production,"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METIK Jurnal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4, no. 2, 2020.</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57"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 N. Baraputri and F. I. Sanjaya, "Penerapan Metode Fuzzy Tsukamoto Dalam Sistem Pakar Diagnosis Penyakit Pada Sapi,"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JOSH (Journal of Information System Research)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6, no. 2, pp. 1144–1152, 2025.</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57"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 Abdulrahman, M. Hussain, and A. Ali, "Fuzzy logic based decision support system for patient prioritization in hospitals,"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IJACSA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12, no. 4, pp. 455–462, 2021.</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57"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 P. Adlassnig, H. Leitich, and W. Koller, "Fuzzy decision support in medicine: A review,"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Artificial Intelligence in Medicine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98, pp. 21–43, 2019.</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57"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 M. Chen and C. H. Wang, "Fuzzy decision-making systems for medical diagnosis,"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Applied Soft Computing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77, pp. 735–744, 2019.</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57"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X. Y. Djam and Y. H. Kimbi, "Fuzzy expert system for medical diagnosis: A review,"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Journal of Intelligent Systems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30, no. 1, pp. 1–15, 2021.</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57"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 Hassan and Z. Z. Abidin, "Decision support system using fuzzy logic for healthcare applications,"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Journal of Healthcare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2022.</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57"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Armansyah and S. Irianto, "Decision Support System for Aircraft Takeoff and Landing Using Mamdani Fuzzy Logic Based on Weather Parameters,"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BITS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2025.</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57"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 Pratiwi, A. Sofwan, and I. Setiawan, "Implementation of fuzzy logic method for automation of decision making of Boeing aircraft landing,"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IJ-AI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10, no. 3, pp. 545–552, 2021.</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113"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 Murugesan et al., "Fuzzy Logic-Based Systems for the Diagnosis of Chronic Kidney Disease,"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BioMed Research International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2022.</w:t>
      </w:r>
    </w:p>
    <w:p w:rsidR="00000000" w:rsidDel="00000000" w:rsidP="00000000" w:rsidRDefault="00000000" w:rsidRPr="00000000" w14:paraId="00000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113"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Z. Z. Abidin, "Employing Fuzzy AHP in Modeling a Decision Support System for Determining Scholarship Recipients within the University Context,"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JSM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2024.</w:t>
      </w:r>
    </w:p>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113"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Y. Y. Kurniawan, "Optimizing Scholarship Selection: A Decision Support System Approach Using the Analytical Hierarchy Process,"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Tiers Journal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2023.</w:t>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113"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 B. Putra, "Fuzzy Inference System dengan Metode Tsukamoto Sebagai Pemberi Saran Pemilihan Konsentrasi,"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SNATI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2022.</w:t>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113"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 D. Kusuma, "Fuzzy Inference System Metode Tsukamoto untuk Penentuan Program Studi,"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JIKO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2022.</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113"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 F. Pratama, "Sistem Pendukung Keputusan Penentuan Pemesanan Barang Menggunakan Logika Fuzzy Tsukamoto,"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Jurnal ALU</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vol. 3, no. 1, 2020.</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113"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 H. Saputra, "Application of The Fuzzy Mamdani Method in Determining KIP-Kuliah Recipients for New Students,"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Semantic Scholar Preprints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2024.</w:t>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113"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 J. Santoso, "Comparison of Fuzzy Logic Methods of Mamdani and Sugeno in Determining the Eligibility,"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PARAMETER</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2023.</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113"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K. L. Hakim, "Implementasi Fuzzy Inference System Tsukamoto Pada Penentuan Kelayakan Pemberian Pinjaman,"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SMATIKA Jurnal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2024.</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113"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 N. Ilham, "Fuzzy Logic in Decision Support: Methods, Applications and Future Trends,"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ResearchGate Preprints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2021.</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113"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 P. Wibowo, "Fuzzy logic based decision support system,"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ResearchGate Preprints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2017.</w:t>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1"/>
          <w:tab w:val="left" w:leader="none" w:pos="459"/>
        </w:tabs>
        <w:spacing w:after="0" w:before="155" w:line="250" w:lineRule="auto"/>
        <w:ind w:left="454" w:right="113"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Q. R. Fadilah, "Penerapan Logika Fuzzy dalam Sistem Pendukung Keputusan Penentuan Prioritas Pasien Rumah Sakit,"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Merkurius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2022.</w:t>
      </w:r>
    </w:p>
    <w:sectPr>
      <w:headerReference r:id="rId15" w:type="default"/>
      <w:type w:val="continuous"/>
      <w:pgSz w:h="16838" w:w="11906" w:orient="portrait"/>
      <w:pgMar w:bottom="660" w:top="1599" w:left="1559" w:right="1191" w:header="0" w:footer="478"/>
      <w:cols w:equalWidth="0" w:num="2">
        <w:col w:space="380" w:w="4387.999999999999"/>
        <w:col w:space="0" w:w="4387.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mbr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5743893</wp:posOffset>
              </wp:positionH>
              <wp:positionV relativeFrom="paragraph">
                <wp:posOffset>10244138</wp:posOffset>
              </wp:positionV>
              <wp:extent cx="161925" cy="175895"/>
              <wp:effectExtent b="0" l="0" r="0" t="0"/>
              <wp:wrapNone/>
              <wp:docPr id="1" name=""/>
              <a:graphic>
                <a:graphicData uri="http://schemas.microsoft.com/office/word/2010/wordprocessingShape">
                  <wps:wsp>
                    <wps:cNvSpPr/>
                    <wps:cNvPr id="2" name="Shape 2"/>
                    <wps:spPr>
                      <a:xfrm>
                        <a:off x="5269860" y="3696840"/>
                        <a:ext cx="152280" cy="166320"/>
                      </a:xfrm>
                      <a:prstGeom prst="rect">
                        <a:avLst/>
                      </a:prstGeom>
                      <a:noFill/>
                      <a:ln>
                        <a:noFill/>
                      </a:ln>
                    </wps:spPr>
                    <wps:txbx>
                      <w:txbxContent>
                        <w:p w:rsidR="00000000" w:rsidDel="00000000" w:rsidP="00000000" w:rsidRDefault="00000000" w:rsidRPr="00000000">
                          <w:pPr>
                            <w:spacing w:after="0" w:before="11.000000238418579"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5743893</wp:posOffset>
              </wp:positionH>
              <wp:positionV relativeFrom="paragraph">
                <wp:posOffset>10244138</wp:posOffset>
              </wp:positionV>
              <wp:extent cx="161925" cy="17589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192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Jurnal Teknik Informatika (JUTIF)</w:t>
      <w:tab/>
      <w:tab/>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DOI: </w:t>
    </w:r>
    <w:hyperlink r:id="rId1">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10.52436/</w:t>
      </w:r>
    </w:hyperlink>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jutif…</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Vol. x, No. y, June 2026, pp. x-y</w:t>
      <w:tab/>
      <w:tab/>
      <w:t xml:space="preserve">p-ISSN: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2723-3863</w:t>
    </w:r>
  </w:p>
  <w:p w:rsidR="00000000" w:rsidDel="00000000" w:rsidP="00000000" w:rsidRDefault="00000000" w:rsidRPr="00000000" w14:paraId="00000086">
    <w:pPr>
      <w:keepNext w:val="0"/>
      <w:keepLines w:val="0"/>
      <w:pageBreakBefore w:val="0"/>
      <w:widowControl w:val="0"/>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ab/>
      <w:tab/>
      <w:t xml:space="preserve">e-ISSN: 2723-3871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widowControl w:val="1"/>
      <w:tabs>
        <w:tab w:val="center" w:leader="none" w:pos="4513"/>
        <w:tab w:val="right" w:leader="none" w:pos="9026"/>
      </w:tabs>
      <w:jc w:val="right"/>
      <w:rPr>
        <w:rFonts w:ascii="Cambria" w:cs="Cambria" w:eastAsia="Cambria" w:hAnsi="Cambria"/>
      </w:rPr>
    </w:pPr>
    <w:r w:rsidDel="00000000" w:rsidR="00000000" w:rsidRPr="00000000">
      <w:rPr>
        <w:rFonts w:ascii="Cambria" w:cs="Cambria" w:eastAsia="Cambria" w:hAnsi="Cambria"/>
        <w:i w:val="1"/>
        <w:iCs w:val="1"/>
        <w:sz w:val="16"/>
        <w:szCs w:val="16"/>
        <w:rtl w:val="0"/>
      </w:rPr>
      <w:t xml:space="preserve">Arzaq Vincent, et al., Sistem Pendukung Keputusan Penentuan Supplier Beras… </w:t>
    </w:r>
    <w:r w:rsidDel="00000000" w:rsidR="00000000" w:rsidRPr="00000000">
      <w:rPr>
        <w:rFonts w:ascii="Cambria" w:cs="Cambria" w:eastAsia="Cambria" w:hAnsi="Cambria"/>
        <w:sz w:val="20"/>
        <w:szCs w:val="20"/>
        <w:rtl w:val="0"/>
      </w:rPr>
      <w:t xml:space="preserve">3</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widowControl w:val="1"/>
      <w:tabs>
        <w:tab w:val="center" w:leader="none" w:pos="4513"/>
        <w:tab w:val="right" w:leader="none" w:pos="9026"/>
      </w:tabs>
      <w:rPr>
        <w:rFonts w:ascii="Cambria" w:cs="Cambria" w:eastAsia="Cambria" w:hAnsi="Cambria"/>
      </w:rPr>
    </w:pPr>
    <w:r w:rsidDel="00000000" w:rsidR="00000000" w:rsidRPr="00000000">
      <w:rPr>
        <w:rtl w:val="0"/>
      </w:rPr>
    </w:r>
  </w:p>
  <w:p w:rsidR="00000000" w:rsidDel="00000000" w:rsidP="00000000" w:rsidRDefault="00000000" w:rsidRPr="00000000" w14:paraId="00000091">
    <w:pPr>
      <w:widowControl w:val="1"/>
      <w:tabs>
        <w:tab w:val="center" w:leader="none" w:pos="4513"/>
        <w:tab w:val="right" w:leader="none" w:pos="9026"/>
      </w:tabs>
      <w:rPr>
        <w:rFonts w:ascii="Cambria" w:cs="Cambria" w:eastAsia="Cambria" w:hAnsi="Cambria"/>
      </w:rPr>
    </w:pPr>
    <w:r w:rsidDel="00000000" w:rsidR="00000000" w:rsidRPr="00000000">
      <w:rPr>
        <w:rtl w:val="0"/>
      </w:rPr>
    </w:r>
  </w:p>
  <w:p w:rsidR="00000000" w:rsidDel="00000000" w:rsidP="00000000" w:rsidRDefault="00000000" w:rsidRPr="00000000" w14:paraId="00000092">
    <w:pPr>
      <w:widowControl w:val="1"/>
      <w:tabs>
        <w:tab w:val="center" w:leader="none" w:pos="4513"/>
        <w:tab w:val="right" w:leader="none" w:pos="9026"/>
      </w:tabs>
      <w:rPr>
        <w:rFonts w:ascii="Cambria" w:cs="Cambria" w:eastAsia="Cambria" w:hAnsi="Cambria"/>
      </w:rPr>
    </w:pPr>
    <w:r w:rsidDel="00000000" w:rsidR="00000000" w:rsidRPr="00000000">
      <w:rPr>
        <w:rtl w:val="0"/>
      </w:rPr>
    </w:r>
  </w:p>
  <w:p w:rsidR="00000000" w:rsidDel="00000000" w:rsidP="00000000" w:rsidRDefault="00000000" w:rsidRPr="00000000" w14:paraId="00000093">
    <w:pPr>
      <w:widowControl w:val="1"/>
      <w:tabs>
        <w:tab w:val="center" w:leader="none" w:pos="4513"/>
        <w:tab w:val="right" w:leader="none" w:pos="9026"/>
      </w:tabs>
      <w:rPr>
        <w:rFonts w:ascii="Cambria" w:cs="Cambria" w:eastAsia="Cambria" w:hAnsi="Cambria"/>
      </w:rPr>
    </w:pPr>
    <w:r w:rsidDel="00000000" w:rsidR="00000000" w:rsidRPr="00000000">
      <w:rPr>
        <w:rtl w:val="0"/>
      </w:rPr>
    </w:r>
  </w:p>
  <w:p w:rsidR="00000000" w:rsidDel="00000000" w:rsidP="00000000" w:rsidRDefault="00000000" w:rsidRPr="00000000" w14:paraId="00000094">
    <w:pPr>
      <w:widowControl w:val="1"/>
      <w:tabs>
        <w:tab w:val="center" w:leader="none" w:pos="4513"/>
        <w:tab w:val="right" w:leader="none" w:pos="9026"/>
      </w:tabs>
      <w:rPr>
        <w:sz w:val="20"/>
        <w:szCs w:val="20"/>
      </w:rPr>
    </w:pP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b w:val="1"/>
        <w:bCs w:val="1"/>
        <w:sz w:val="18"/>
        <w:szCs w:val="18"/>
        <w:rtl w:val="0"/>
      </w:rPr>
      <w:t xml:space="preserve">Jurnal Teknik Informatika (JUTIF)</w:t>
    </w:r>
    <w:r w:rsidDel="00000000" w:rsidR="00000000" w:rsidRPr="00000000">
      <w:rPr>
        <w:rFonts w:ascii="Cambria" w:cs="Cambria" w:eastAsia="Cambria" w:hAnsi="Cambria"/>
        <w:sz w:val="18"/>
        <w:szCs w:val="18"/>
        <w:rtl w:val="0"/>
      </w:rPr>
      <w:t xml:space="preserve">, Vol. 1, No. 1, June 2026, pp. x-y</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41" w:hanging="320"/>
      </w:pPr>
      <w:rPr>
        <w:rFonts w:ascii="Times New Roman" w:cs="Times New Roman" w:eastAsia="Times New Roman" w:hAnsi="Times New Roman"/>
        <w:b w:val="0"/>
        <w:bCs w:val="0"/>
        <w:i w:val="0"/>
        <w:iCs w:val="0"/>
        <w:sz w:val="18"/>
        <w:szCs w:val="18"/>
      </w:rPr>
    </w:lvl>
    <w:lvl w:ilvl="1">
      <w:start w:val="0"/>
      <w:numFmt w:val="bullet"/>
      <w:lvlText w:val="●"/>
      <w:lvlJc w:val="left"/>
      <w:pPr>
        <w:ind w:left="906" w:hanging="320"/>
      </w:pPr>
      <w:rPr>
        <w:rFonts w:ascii="Noto Sans Symbols" w:cs="Noto Sans Symbols" w:eastAsia="Noto Sans Symbols" w:hAnsi="Noto Sans Symbols"/>
      </w:rPr>
    </w:lvl>
    <w:lvl w:ilvl="2">
      <w:start w:val="0"/>
      <w:numFmt w:val="bullet"/>
      <w:lvlText w:val="●"/>
      <w:lvlJc w:val="left"/>
      <w:pPr>
        <w:ind w:left="1372" w:hanging="320"/>
      </w:pPr>
      <w:rPr>
        <w:rFonts w:ascii="Noto Sans Symbols" w:cs="Noto Sans Symbols" w:eastAsia="Noto Sans Symbols" w:hAnsi="Noto Sans Symbols"/>
      </w:rPr>
    </w:lvl>
    <w:lvl w:ilvl="3">
      <w:start w:val="0"/>
      <w:numFmt w:val="bullet"/>
      <w:lvlText w:val="●"/>
      <w:lvlJc w:val="left"/>
      <w:pPr>
        <w:ind w:left="1838" w:hanging="320"/>
      </w:pPr>
      <w:rPr>
        <w:rFonts w:ascii="Noto Sans Symbols" w:cs="Noto Sans Symbols" w:eastAsia="Noto Sans Symbols" w:hAnsi="Noto Sans Symbols"/>
      </w:rPr>
    </w:lvl>
    <w:lvl w:ilvl="4">
      <w:start w:val="0"/>
      <w:numFmt w:val="bullet"/>
      <w:lvlText w:val="●"/>
      <w:lvlJc w:val="left"/>
      <w:pPr>
        <w:ind w:left="2305" w:hanging="320"/>
      </w:pPr>
      <w:rPr>
        <w:rFonts w:ascii="Noto Sans Symbols" w:cs="Noto Sans Symbols" w:eastAsia="Noto Sans Symbols" w:hAnsi="Noto Sans Symbols"/>
      </w:rPr>
    </w:lvl>
    <w:lvl w:ilvl="5">
      <w:start w:val="0"/>
      <w:numFmt w:val="bullet"/>
      <w:lvlText w:val="●"/>
      <w:lvlJc w:val="left"/>
      <w:pPr>
        <w:ind w:left="2771" w:hanging="320"/>
      </w:pPr>
      <w:rPr>
        <w:rFonts w:ascii="Noto Sans Symbols" w:cs="Noto Sans Symbols" w:eastAsia="Noto Sans Symbols" w:hAnsi="Noto Sans Symbols"/>
      </w:rPr>
    </w:lvl>
    <w:lvl w:ilvl="6">
      <w:start w:val="0"/>
      <w:numFmt w:val="bullet"/>
      <w:lvlText w:val="●"/>
      <w:lvlJc w:val="left"/>
      <w:pPr>
        <w:ind w:left="3237" w:hanging="320"/>
      </w:pPr>
      <w:rPr>
        <w:rFonts w:ascii="Noto Sans Symbols" w:cs="Noto Sans Symbols" w:eastAsia="Noto Sans Symbols" w:hAnsi="Noto Sans Symbols"/>
      </w:rPr>
    </w:lvl>
    <w:lvl w:ilvl="7">
      <w:start w:val="0"/>
      <w:numFmt w:val="bullet"/>
      <w:lvlText w:val="●"/>
      <w:lvlJc w:val="left"/>
      <w:pPr>
        <w:ind w:left="3703" w:hanging="320"/>
      </w:pPr>
      <w:rPr>
        <w:rFonts w:ascii="Noto Sans Symbols" w:cs="Noto Sans Symbols" w:eastAsia="Noto Sans Symbols" w:hAnsi="Noto Sans Symbols"/>
      </w:rPr>
    </w:lvl>
    <w:lvl w:ilvl="8">
      <w:start w:val="0"/>
      <w:numFmt w:val="bullet"/>
      <w:lvlText w:val="●"/>
      <w:lvlJc w:val="left"/>
      <w:pPr>
        <w:ind w:left="4170" w:hanging="320"/>
      </w:pPr>
      <w:rPr>
        <w:rFonts w:ascii="Noto Sans Symbols" w:cs="Noto Sans Symbols" w:eastAsia="Noto Sans Symbols" w:hAnsi="Noto Sans Symbols"/>
      </w:rPr>
    </w:lvl>
  </w:abstractNum>
  <w:abstractNum w:abstractNumId="2">
    <w:lvl w:ilvl="0">
      <w:start w:val="1"/>
      <w:numFmt w:val="decimal"/>
      <w:lvlText w:val="%1."/>
      <w:lvlJc w:val="left"/>
      <w:pPr>
        <w:ind w:left="341" w:hanging="200"/>
      </w:pPr>
      <w:rPr>
        <w:rFonts w:ascii="Times New Roman" w:cs="Times New Roman" w:eastAsia="Times New Roman" w:hAnsi="Times New Roman"/>
        <w:b w:val="1"/>
        <w:bCs w:val="1"/>
        <w:i w:val="0"/>
        <w:iCs w:val="0"/>
        <w:sz w:val="20"/>
        <w:szCs w:val="20"/>
      </w:rPr>
    </w:lvl>
    <w:lvl w:ilvl="1">
      <w:start w:val="1"/>
      <w:numFmt w:val="decimal"/>
      <w:lvlText w:val="%1.%2"/>
      <w:lvlJc w:val="left"/>
      <w:pPr>
        <w:ind w:left="438" w:hanging="297"/>
      </w:pPr>
      <w:rPr>
        <w:rFonts w:ascii="Times New Roman" w:cs="Times New Roman" w:eastAsia="Times New Roman" w:hAnsi="Times New Roman"/>
        <w:b w:val="1"/>
        <w:bCs w:val="1"/>
        <w:i w:val="0"/>
        <w:iCs w:val="0"/>
        <w:sz w:val="20"/>
        <w:szCs w:val="20"/>
      </w:rPr>
    </w:lvl>
    <w:lvl w:ilvl="2">
      <w:start w:val="0"/>
      <w:numFmt w:val="bullet"/>
      <w:lvlText w:val="●"/>
      <w:lvlJc w:val="left"/>
      <w:pPr>
        <w:ind w:left="348" w:hanging="297"/>
      </w:pPr>
      <w:rPr>
        <w:rFonts w:ascii="Noto Sans Symbols" w:cs="Noto Sans Symbols" w:eastAsia="Noto Sans Symbols" w:hAnsi="Noto Sans Symbols"/>
      </w:rPr>
    </w:lvl>
    <w:lvl w:ilvl="3">
      <w:start w:val="0"/>
      <w:numFmt w:val="bullet"/>
      <w:lvlText w:val="●"/>
      <w:lvlJc w:val="left"/>
      <w:pPr>
        <w:ind w:left="257" w:hanging="297"/>
      </w:pPr>
      <w:rPr>
        <w:rFonts w:ascii="Noto Sans Symbols" w:cs="Noto Sans Symbols" w:eastAsia="Noto Sans Symbols" w:hAnsi="Noto Sans Symbols"/>
      </w:rPr>
    </w:lvl>
    <w:lvl w:ilvl="4">
      <w:start w:val="0"/>
      <w:numFmt w:val="bullet"/>
      <w:lvlText w:val="●"/>
      <w:lvlJc w:val="left"/>
      <w:pPr>
        <w:ind w:left="166" w:hanging="297"/>
      </w:pPr>
      <w:rPr>
        <w:rFonts w:ascii="Noto Sans Symbols" w:cs="Noto Sans Symbols" w:eastAsia="Noto Sans Symbols" w:hAnsi="Noto Sans Symbols"/>
      </w:rPr>
    </w:lvl>
    <w:lvl w:ilvl="5">
      <w:start w:val="0"/>
      <w:numFmt w:val="bullet"/>
      <w:lvlText w:val="●"/>
      <w:lvlJc w:val="left"/>
      <w:pPr>
        <w:ind w:left="74" w:hanging="297"/>
      </w:pPr>
      <w:rPr>
        <w:rFonts w:ascii="Noto Sans Symbols" w:cs="Noto Sans Symbols" w:eastAsia="Noto Sans Symbols" w:hAnsi="Noto Sans Symbols"/>
      </w:rPr>
    </w:lvl>
    <w:lvl w:ilvl="6">
      <w:start w:val="0"/>
      <w:numFmt w:val="bullet"/>
      <w:lvlText w:val="●"/>
      <w:lvlJc w:val="left"/>
      <w:pPr>
        <w:ind w:left="-17" w:hanging="297"/>
      </w:pPr>
      <w:rPr>
        <w:rFonts w:ascii="Noto Sans Symbols" w:cs="Noto Sans Symbols" w:eastAsia="Noto Sans Symbols" w:hAnsi="Noto Sans Symbols"/>
      </w:rPr>
    </w:lvl>
    <w:lvl w:ilvl="7">
      <w:start w:val="0"/>
      <w:numFmt w:val="bullet"/>
      <w:lvlText w:val="●"/>
      <w:lvlJc w:val="left"/>
      <w:pPr>
        <w:ind w:left="-108" w:hanging="297"/>
      </w:pPr>
      <w:rPr>
        <w:rFonts w:ascii="Noto Sans Symbols" w:cs="Noto Sans Symbols" w:eastAsia="Noto Sans Symbols" w:hAnsi="Noto Sans Symbols"/>
      </w:rPr>
    </w:lvl>
    <w:lvl w:ilvl="8">
      <w:start w:val="0"/>
      <w:numFmt w:val="bullet"/>
      <w:lvlText w:val="●"/>
      <w:lvlJc w:val="left"/>
      <w:pPr>
        <w:ind w:left="-199" w:hanging="296.99999999999994"/>
      </w:pPr>
      <w:rPr>
        <w:rFonts w:ascii="Noto Sans Symbols" w:cs="Noto Sans Symbols" w:eastAsia="Noto Sans Symbols" w:hAnsi="Noto Sans Symbols"/>
      </w:rPr>
    </w:lvl>
  </w:abstractNum>
  <w:abstractNum w:abstractNumId="3">
    <w:lvl w:ilvl="0">
      <w:start w:val="1"/>
      <w:numFmt w:val="decimal"/>
      <w:lvlText w:val="2.%1."/>
      <w:lvlJc w:val="left"/>
      <w:pPr>
        <w:ind w:left="720" w:hanging="360"/>
      </w:pPr>
      <w:rPr>
        <w:b w:val="1"/>
        <w:bCs w:val="1"/>
      </w:rPr>
    </w:lvl>
    <w:lvl w:ilvl="1">
      <w:start w:val="1"/>
      <w:numFmt w:val="decimal"/>
      <w:lvlText w:val="%2."/>
      <w:lvlJc w:val="left"/>
      <w:pPr>
        <w:ind w:left="1080" w:hanging="360"/>
      </w:pPr>
      <w:rPr>
        <w:b w:val="1"/>
        <w:bCs w:val="1"/>
      </w:rPr>
    </w:lvl>
    <w:lvl w:ilvl="2">
      <w:start w:val="1"/>
      <w:numFmt w:val="decimal"/>
      <w:lvlText w:val="%3."/>
      <w:lvlJc w:val="left"/>
      <w:pPr>
        <w:ind w:left="1440" w:hanging="360"/>
      </w:pPr>
      <w:rPr>
        <w:b w:val="1"/>
        <w:bCs w:val="1"/>
      </w:rPr>
    </w:lvl>
    <w:lvl w:ilvl="3">
      <w:start w:val="1"/>
      <w:numFmt w:val="decimal"/>
      <w:lvlText w:val="%4."/>
      <w:lvlJc w:val="left"/>
      <w:pPr>
        <w:ind w:left="1800" w:hanging="360"/>
      </w:pPr>
      <w:rPr>
        <w:b w:val="1"/>
        <w:bCs w:val="1"/>
      </w:rPr>
    </w:lvl>
    <w:lvl w:ilvl="4">
      <w:start w:val="1"/>
      <w:numFmt w:val="decimal"/>
      <w:lvlText w:val="%5."/>
      <w:lvlJc w:val="left"/>
      <w:pPr>
        <w:ind w:left="2160" w:hanging="360"/>
      </w:pPr>
      <w:rPr>
        <w:b w:val="1"/>
        <w:bCs w:val="1"/>
      </w:rPr>
    </w:lvl>
    <w:lvl w:ilvl="5">
      <w:start w:val="1"/>
      <w:numFmt w:val="decimal"/>
      <w:lvlText w:val="%6."/>
      <w:lvlJc w:val="left"/>
      <w:pPr>
        <w:ind w:left="2520" w:hanging="360"/>
      </w:pPr>
      <w:rPr>
        <w:b w:val="1"/>
        <w:bCs w:val="1"/>
      </w:rPr>
    </w:lvl>
    <w:lvl w:ilvl="6">
      <w:start w:val="1"/>
      <w:numFmt w:val="decimal"/>
      <w:lvlText w:val="%7."/>
      <w:lvlJc w:val="left"/>
      <w:pPr>
        <w:ind w:left="2880" w:hanging="360"/>
      </w:pPr>
      <w:rPr>
        <w:b w:val="1"/>
        <w:bCs w:val="1"/>
      </w:rPr>
    </w:lvl>
    <w:lvl w:ilvl="7">
      <w:start w:val="1"/>
      <w:numFmt w:val="decimal"/>
      <w:lvlText w:val="%8."/>
      <w:lvlJc w:val="left"/>
      <w:pPr>
        <w:ind w:left="3240" w:hanging="360"/>
      </w:pPr>
      <w:rPr>
        <w:b w:val="1"/>
        <w:bCs w:val="1"/>
      </w:rPr>
    </w:lvl>
    <w:lvl w:ilvl="8">
      <w:start w:val="1"/>
      <w:numFmt w:val="decimal"/>
      <w:lvlText w:val="%9."/>
      <w:lvlJc w:val="left"/>
      <w:pPr>
        <w:ind w:left="3600" w:hanging="360"/>
      </w:pPr>
      <w:rPr>
        <w:b w:val="1"/>
        <w:bCs w:val="1"/>
      </w:rPr>
    </w:lvl>
  </w:abstractNum>
  <w:abstractNum w:abstractNumId="4">
    <w:lvl w:ilvl="0">
      <w:start w:val="1"/>
      <w:numFmt w:val="decimal"/>
      <w:lvlText w:val="3.%1."/>
      <w:lvlJc w:val="left"/>
      <w:pPr>
        <w:ind w:left="890" w:hanging="360"/>
      </w:pPr>
      <w:rPr>
        <w:b w:val="1"/>
        <w:bCs w:val="1"/>
      </w:rPr>
    </w:lvl>
    <w:lvl w:ilvl="1">
      <w:start w:val="1"/>
      <w:numFmt w:val="decimal"/>
      <w:lvlText w:val="%2."/>
      <w:lvlJc w:val="left"/>
      <w:pPr>
        <w:ind w:left="1250" w:hanging="360"/>
      </w:pPr>
      <w:rPr>
        <w:b w:val="1"/>
        <w:bCs w:val="1"/>
      </w:rPr>
    </w:lvl>
    <w:lvl w:ilvl="2">
      <w:start w:val="1"/>
      <w:numFmt w:val="decimal"/>
      <w:lvlText w:val="%3."/>
      <w:lvlJc w:val="left"/>
      <w:pPr>
        <w:ind w:left="1610" w:hanging="360"/>
      </w:pPr>
      <w:rPr>
        <w:b w:val="1"/>
        <w:bCs w:val="1"/>
      </w:rPr>
    </w:lvl>
    <w:lvl w:ilvl="3">
      <w:start w:val="1"/>
      <w:numFmt w:val="decimal"/>
      <w:lvlText w:val="%4."/>
      <w:lvlJc w:val="left"/>
      <w:pPr>
        <w:ind w:left="1970" w:hanging="360"/>
      </w:pPr>
      <w:rPr>
        <w:b w:val="1"/>
        <w:bCs w:val="1"/>
      </w:rPr>
    </w:lvl>
    <w:lvl w:ilvl="4">
      <w:start w:val="1"/>
      <w:numFmt w:val="decimal"/>
      <w:lvlText w:val="%5."/>
      <w:lvlJc w:val="left"/>
      <w:pPr>
        <w:ind w:left="2330" w:hanging="360"/>
      </w:pPr>
      <w:rPr>
        <w:b w:val="1"/>
        <w:bCs w:val="1"/>
      </w:rPr>
    </w:lvl>
    <w:lvl w:ilvl="5">
      <w:start w:val="1"/>
      <w:numFmt w:val="decimal"/>
      <w:lvlText w:val="%6."/>
      <w:lvlJc w:val="left"/>
      <w:pPr>
        <w:ind w:left="2690" w:hanging="360"/>
      </w:pPr>
      <w:rPr>
        <w:b w:val="1"/>
        <w:bCs w:val="1"/>
      </w:rPr>
    </w:lvl>
    <w:lvl w:ilvl="6">
      <w:start w:val="1"/>
      <w:numFmt w:val="decimal"/>
      <w:lvlText w:val="%7."/>
      <w:lvlJc w:val="left"/>
      <w:pPr>
        <w:ind w:left="3050" w:hanging="360"/>
      </w:pPr>
      <w:rPr>
        <w:b w:val="1"/>
        <w:bCs w:val="1"/>
      </w:rPr>
    </w:lvl>
    <w:lvl w:ilvl="7">
      <w:start w:val="1"/>
      <w:numFmt w:val="decimal"/>
      <w:lvlText w:val="%8."/>
      <w:lvlJc w:val="left"/>
      <w:pPr>
        <w:ind w:left="3410" w:hanging="360"/>
      </w:pPr>
      <w:rPr>
        <w:b w:val="1"/>
        <w:bCs w:val="1"/>
      </w:rPr>
    </w:lvl>
    <w:lvl w:ilvl="8">
      <w:start w:val="1"/>
      <w:numFmt w:val="decimal"/>
      <w:lvlText w:val="%9."/>
      <w:lvlJc w:val="left"/>
      <w:pPr>
        <w:ind w:left="3770" w:hanging="360"/>
      </w:pPr>
      <w:rPr>
        <w:b w:val="1"/>
        <w:bCs w:val="1"/>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1" w:lineRule="auto"/>
      <w:ind w:left="621" w:hanging="80"/>
    </w:pPr>
    <w:rPr>
      <w:rFonts w:ascii="Times New Roman" w:cs="Times New Roman" w:eastAsia="Times New Roman" w:hAnsi="Times New Roman"/>
      <w:b w:val="1"/>
      <w:bCs w:val="1"/>
      <w:sz w:val="24"/>
      <w:szCs w:val="24"/>
    </w:rPr>
  </w:style>
  <w:style w:type="paragraph" w:styleId="Heading2">
    <w:name w:val="heading 2"/>
    <w:basedOn w:val="Normal"/>
    <w:next w:val="Normal"/>
    <w:pPr>
      <w:spacing w:after="0" w:before="210" w:lineRule="auto"/>
      <w:ind w:left="341" w:hanging="200"/>
      <w:jc w:val="both"/>
    </w:pPr>
    <w:rPr>
      <w:rFonts w:ascii="Times New Roman" w:cs="Times New Roman" w:eastAsia="Times New Roman" w:hAnsi="Times New Roman"/>
      <w:b w:val="1"/>
      <w:bCs w:val="1"/>
      <w:sz w:val="20"/>
      <w:szCs w:val="20"/>
    </w:rPr>
  </w:style>
  <w:style w:type="paragraph" w:styleId="Heading3">
    <w:name w:val="heading 3"/>
    <w:basedOn w:val="Normal"/>
    <w:next w:val="Normal"/>
    <w:pPr>
      <w:spacing w:after="0" w:before="150" w:lineRule="auto"/>
      <w:ind w:left="441" w:hanging="300"/>
      <w:jc w:val="both"/>
    </w:pPr>
    <w:rPr>
      <w:rFonts w:ascii="Times New Roman" w:cs="Times New Roman" w:eastAsia="Times New Roman" w:hAnsi="Times New Roman"/>
      <w:b w:val="1"/>
      <w:b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arzaqvincent@mhs.unsoed.ac.id" TargetMode="External"/><Relationship Id="rId15"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1satrioputra@mhs.unsoed.ac.id" TargetMode="External"/><Relationship Id="rId7" Type="http://schemas.openxmlformats.org/officeDocument/2006/relationships/hyperlink" Target="mailto:1satrioputra@mhs.unsoed.ac.id" TargetMode="External"/><Relationship Id="rId8" Type="http://schemas.openxmlformats.org/officeDocument/2006/relationships/hyperlink" Target="mailto:2arzaqvincent@mhs.unsoed.ac.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hyperlink" Target="http://dx.doi.org/10.25126/jtiik.2017432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2026-06-11T00:00:00Z</vt:lpwstr>
  </property>
  <property fmtid="{D5CDD505-2E9C-101B-9397-08002B2CF9AE}" pid="4" name="LastSaved">
    <vt:lpwstr>2026-06-11T00:00:00Z</vt:lpwstr>
  </property>
  <property fmtid="{D5CDD505-2E9C-101B-9397-08002B2CF9AE}" pid="5" name="Producer">
    <vt:lpwstr>WeasyPrint 62.3</vt:lpwstr>
  </property>
</Properties>
</file>