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1D63" w14:textId="5E014822" w:rsidR="002B78A2" w:rsidRPr="001B25C4" w:rsidRDefault="002B78A2" w:rsidP="002B78A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 xml:space="preserve">Kurzabstract </w:t>
      </w:r>
    </w:p>
    <w:p w14:paraId="08542CF8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Hintergrund (Präsens): Akutes Nierenversagen (AKI) ist nach pädiatrischen Herzoperationen häufig und verschlechtert Mortalität und Verweildauer. Die Vorhersage und frühe Identifikation klinisch relevanter Risiken stehen im Fokus der Versorgungsforschung.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ist ein offenes Framework, das explorative Analysen heterogener Routinedaten standardisiert und reproduzierbar macht.</w:t>
      </w:r>
    </w:p>
    <w:p w14:paraId="204DDCF2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Methoden (Vergangenheit): In einer retrospektiven 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Episoden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Kohorte (n = 1.209) haben wir aus Routinedaten Variablen abgeleitet (z. B.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duration_hours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is_reop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age_years_at_op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) und </w:t>
      </w:r>
      <w:proofErr w:type="gram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die Index</w:t>
      </w:r>
      <w:proofErr w:type="gram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 definiert. Der primäre Endpunkt war AKI innerhalb von 0–7 Tagen nach OP (OP–AKI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Verknüpfungen, 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AKI_linked_0_7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). Wir erstellten Zeit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zu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Ereignis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Darstellungen (Kaplan–Meier/kumulative Inzidenz) und passten logistische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Generalized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Linear Models (GLM) mit Interaktion Dauer ×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an. Ergänzend evaluierten wir ein Random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Forest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Modell (5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fach CV) mit 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AUC, 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und Brier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Score. Analysen erfolgten als reproduzierbare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AnnData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Pipelines.</w:t>
      </w:r>
    </w:p>
    <w:p w14:paraId="6621E1E4" w14:textId="0FCD953C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Ergebnisse</w:t>
      </w:r>
      <w:r w:rsidR="00D11AB1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: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Es lagen 533 OP–AKI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Verknüpfungen (0–7 Tage) vor. Die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war unabhängig mit AKI assoziiert (OR/h 1,147; 95 %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KI 1,077–1,222; p &lt; 0,001). 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Operation zeigte in unserer Kohorte eine inverse Assoziation (OR 0,236; 0,145–0,384; p &lt; 0,001). Alter war ebenfalls invers assoziiert (OR pro Jahr 0,861; 0,828–0,895; p &lt; 10⁻¹³). Die Interaktion Dauer ×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war signifikant (p ≈ 3,9·10⁻⁴): Erst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OR/h ≈ 1,204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OR/h ≈ 0,811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. Das ML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Baseline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Modell erreichte 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0,637, 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0,538, Brier 0,238.</w:t>
      </w:r>
    </w:p>
    <w:p w14:paraId="3CE3C796" w14:textId="68E2DECC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Schlussfolgerung</w:t>
      </w:r>
      <w:r w:rsidR="00D11AB1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: 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ermöglicht eine robuste, nachvollziehbare Pipeline zur Identifikation klinisch bedeutsamer Risikofaktoren in EHR/Routinedaten.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ist ein konsistenter Treiber für 0–7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Tage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AKI; die inverse Assoziation von 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deutet auf Selektions-/Konfusions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softHyphen/>
        <w:t xml:space="preserve">effekte hin und sollte prospektiv geprüft werden. Die Ergebnisse stützen Strategien des intraoperativen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Perfusions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 und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Oxygenierungs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Managements (z. B. Do₂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Ziele, NIRS/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Monitoring) und bilden die Basis für klinisch nutzbare Entscheidungsunterstützung.</w:t>
      </w:r>
    </w:p>
    <w:p w14:paraId="096CA494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Schlüsselwörter: akutes Nierenversagen; Kinderherzchirurgie;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; EHR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Analyse; Kaplan–Meier; logistisches GLM; maschinelles Lernen;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Perfusions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Management;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₂.</w:t>
      </w:r>
    </w:p>
    <w:p w14:paraId="27F28880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(Hinweis: Umfang ≈ 220–260 Wörter; bei Bedarf kürze/erweitere ich auf die geforderte Wortzahl.)</w:t>
      </w:r>
    </w:p>
    <w:p w14:paraId="1E6B5BF6" w14:textId="77777777" w:rsidR="002B78A2" w:rsidRPr="001B25C4" w:rsidRDefault="005073E0" w:rsidP="002B78A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  <w:lang w:eastAsia="de-DE"/>
        </w:rPr>
        <w:pict w14:anchorId="25C27CF3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17B3AE75" w14:textId="77777777" w:rsidR="002B78A2" w:rsidRPr="001B25C4" w:rsidRDefault="002B78A2" w:rsidP="002B78A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Literatur (Vancouver)</w:t>
      </w:r>
    </w:p>
    <w:p w14:paraId="633879EC" w14:textId="77777777" w:rsidR="002B78A2" w:rsidRPr="001B25C4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Heumos L,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Ehmele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P, Treis T,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Upmeier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zu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Belzen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J,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Roellin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E, May L, et al.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An open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source framework for end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to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 xml:space="preserve">end analysis of electronic health record data.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Nat Med. </w:t>
      </w:r>
      <w:proofErr w:type="gram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2024;30:3369</w:t>
      </w:r>
      <w:proofErr w:type="gram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–3380. doi:10.1038/s41591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024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03214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0.</w:t>
      </w:r>
    </w:p>
    <w:p w14:paraId="08AA2E27" w14:textId="77777777" w:rsidR="002B78A2" w:rsidRPr="001B25C4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 xml:space="preserve">Selewski DT, Cornell TT, Heung M, Troost JP, Ehrmann BJ, Lombel RM, et al. Validation of the KDIGO acute kidney injury criteria in a pediatric critical care population.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Intensive Care Med. 2014;40(10):1481–1488. doi:10.1007/s00134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014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3391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8.</w:t>
      </w:r>
    </w:p>
    <w:p w14:paraId="03B9325D" w14:textId="77777777" w:rsidR="002B78A2" w:rsidRPr="001B25C4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Lee JH, Jung JY, Park SW, Song IK, Kim EH, Kim HS, et al.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 xml:space="preserve">Risk factors of acute kidney injury in children after cardiac surgery.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Acta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Anaesthesiol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Scand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. 2018;62(10):1374–1382. doi:10.1111/aas.13210.</w:t>
      </w:r>
    </w:p>
    <w:p w14:paraId="72CDC2FE" w14:textId="77777777" w:rsidR="002B78A2" w:rsidRPr="001B25C4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Condit PE, Gorski DP, Lasarev MR, Al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Subu AM, Harer MW. Decreased intraoperative renal tissue oxygenation after cardiopulmonary bypass predicts cardiac surgery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 xml:space="preserve">associated acute kidney injury in neonates.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Children (Basel). 2024;11(3):315. doi:10.3390/children11030315.</w:t>
      </w:r>
    </w:p>
    <w:p w14:paraId="5ABE86BA" w14:textId="77777777" w:rsidR="002B78A2" w:rsidRPr="001B25C4" w:rsidRDefault="005073E0" w:rsidP="002B78A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  <w:lang w:eastAsia="de-DE"/>
        </w:rPr>
        <w:lastRenderedPageBreak/>
        <w:pict w14:anchorId="3140493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EAC6D8D" w14:textId="4BF7C250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Kernzahlen: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0,637, 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0,538, Brier 0,238.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Message: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ML bestätigt Signal; interpretierbares GLM bevorzugt für Kommunikation.</w:t>
      </w:r>
    </w:p>
    <w:p w14:paraId="77F39B2D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 7 – Klinische Implikationen &amp; Take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Home (1:00)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Points: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Do₂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Zielwerte/GDP;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Monitoring/NIRS als Frühwarnsignal; Prospektive Validierung; Integration in CDSS.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Take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noBreakHyphen/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home</w:t>
      </w:r>
      <w:proofErr w:type="spellEnd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liefert reproduzierbare Evidenz –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als priorisierter Risikofaktor.</w:t>
      </w:r>
    </w:p>
    <w:p w14:paraId="57950F33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Backup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Slides (optional): Subgruppen (by_sex, by_reop, duration_tertile), Tabelle 1 mit Effektstärken (Mann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Whitney/Welch, Fisher/Chi², OR/RD, Cramér’s V).</w:t>
      </w:r>
    </w:p>
    <w:p w14:paraId="5EB6EC35" w14:textId="3E011E64" w:rsidR="002B78A2" w:rsidRPr="00D11AB1" w:rsidRDefault="002B78A2" w:rsidP="002B78A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US" w:eastAsia="de-DE"/>
          <w14:ligatures w14:val="none"/>
        </w:rPr>
      </w:pPr>
    </w:p>
    <w:p w14:paraId="7C34D625" w14:textId="5A553053" w:rsidR="002B78A2" w:rsidRPr="001B25C4" w:rsidRDefault="002B78A2" w:rsidP="002B78A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 xml:space="preserve">Abstract </w:t>
      </w:r>
    </w:p>
    <w:p w14:paraId="12083D0F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Hintergrund (Präsens): Akutes Nierenversagen (AKI) tritt nach Kinderherzoperationen häufig auf und erhöht Morbidität und Mortalität. Für die klinische Praxis sind reproduzierbare Routinedaten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Pipelines erforderlich, die Risikofaktoren transparent identifizieren.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standardisiert solche EHR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Analysen.</w:t>
      </w:r>
    </w:p>
    <w:p w14:paraId="611B266A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Methoden (Vergangenheit): In einer retrospektiven 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Episoden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Kohorte (n = 1.209) definierten wir </w:t>
      </w:r>
      <w:proofErr w:type="gram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die Index</w:t>
      </w:r>
      <w:proofErr w:type="gram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Operation und den Endpunkt AKI innerhalb von 0–7 Tagen. Wir leiteten Variablen aus Routinedaten ab (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duration_hours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is_reop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age_years_at_op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) und erstellten Zeit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zu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Ereignis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Darstellungen (Kaplan–Meier/kumulative Inzidenz). Zur Quantifizierung passten wir ein logistisches GLM mit Interaktion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 ×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Operation an; ergänzend evaluierten wir ein 5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fach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Cross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Validation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Random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Forest (ROC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AUC, 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AUC, Brier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Score). Analysen liefen als reproduzierbare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AnnData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Pipelines.</w:t>
      </w:r>
    </w:p>
    <w:p w14:paraId="699D92A9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Ergebnisse (Vergangenheit): Es lagen 533 OP–AKI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Verknüpfungen (0–7 Tage) vor.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war unabhängig assoziiert (OR je Stunde 1,147; 95 %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KI 1,077–1,222; p &lt; 0,001). 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Operation zeigte eine inverse Assoziation (OR 0,236; 0,145–0,384; p &lt; 0,001). Alter war invers assoziiert (OR/Jahr 0,861; 0,828–0,895; p &lt; 10⁻¹³). Die Interaktion Dauer ×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war signifikant (p ≈ 3,9·10⁻⁴): Erst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OR/h ≈ 1,204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OR/h ≈ 0,811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. Das ML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Baseline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Modell erreichte 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0,637, 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0,538, Brier 0,238.</w:t>
      </w:r>
    </w:p>
    <w:p w14:paraId="5D105BA6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Schlussfolgerung (Präsens):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ermöglicht eine robuste, nachvollziehbare Pipeline zur Identifikation klinisch bedeutsamer Risikofaktoren.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ist ein priorisierter Treiber für 0–7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Tage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AKI. </w:t>
      </w:r>
      <w:proofErr w:type="gram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Die inverse Re</w:t>
      </w:r>
      <w:proofErr w:type="gram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Assoziation deutet auf Selektions-/Konfundierungseffekte hin und verlangt prospektive Validierung. Die Befunde stützen intraoperative Strategien (Do₂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Ziele,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₂/NIRS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Monitoring) und die Umsetzung in Entscheidungsunterstützung.</w:t>
      </w:r>
    </w:p>
    <w:p w14:paraId="5798CB9D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Schlüsselwörter: akutes Nierenversagen; Kinderherzchirurgie;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; EHR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Analyse; logistisches GLM; Kaplan–Meier; maschinelles Lernen.</w:t>
      </w:r>
    </w:p>
    <w:p w14:paraId="1BC83DD9" w14:textId="77777777" w:rsidR="002B78A2" w:rsidRPr="001B25C4" w:rsidRDefault="005073E0" w:rsidP="002B78A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  <w:lang w:eastAsia="de-DE"/>
        </w:rPr>
        <w:pict w14:anchorId="378D8C7D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D23AEE4" w14:textId="77777777" w:rsidR="007B74CC" w:rsidRDefault="007B74CC" w:rsidP="002B78A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</w:pPr>
    </w:p>
    <w:p w14:paraId="435D407D" w14:textId="77777777" w:rsidR="007B74CC" w:rsidRDefault="007B74CC" w:rsidP="002B78A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</w:pPr>
    </w:p>
    <w:p w14:paraId="6BF97250" w14:textId="3CF94F20" w:rsidR="002B78A2" w:rsidRPr="001B25C4" w:rsidRDefault="002B78A2" w:rsidP="002B78A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lastRenderedPageBreak/>
        <w:noBreakHyphen/>
        <w:t>Minuten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Präsentation – Storyboard &amp; Sprechtext (</w:t>
      </w:r>
      <w:proofErr w:type="spellStart"/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>Zeitcode</w:t>
      </w:r>
      <w:proofErr w:type="spellEnd"/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>)</w:t>
      </w:r>
    </w:p>
    <w:p w14:paraId="5BA36803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1 – Titel (0:00–0:30)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Claim: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„Früherkennung von AKI nach Kinderherz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 mit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: reproduzierbare Routinedaten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Pipelines.“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„AKI ist häufig und relevant. Wir zeigen, wie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klinisch belastbare Evidenz liefert.“</w:t>
      </w:r>
    </w:p>
    <w:p w14:paraId="26DA2C29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2 – Problem &amp; Ziel (0:30–1:15)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Key: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AKI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Last, KDIGO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Kontext, Bedarf an standardisierten EHR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Pipelines.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„Ziel ist die transparente Identifikation von Risikofaktoren für AKI 0–7 Tage.“</w:t>
      </w:r>
    </w:p>
    <w:p w14:paraId="1ADCD80B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Slide 3 – Daten &amp; Pipeline (1:15–2:00)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e-DE"/>
          <w14:ligatures w14:val="none"/>
        </w:rPr>
        <w:t>Grafik: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 Workflow (AnnData → QC → Feature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Engineering → Survival/GLM/ML).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e-DE"/>
          <w14:ligatures w14:val="none"/>
        </w:rPr>
        <w:t>Details: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 n=1.209; Variablen: duration_hours, is_reop, age_years_at_op; Endpunkt AKI 0–7 Tage.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Hinweis: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Reproduzierbarkeit (Dateipfade, Diagramme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Ordner, Versionen).</w:t>
      </w:r>
    </w:p>
    <w:p w14:paraId="2558EBD9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4 – Zeit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zu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Ereignis (2:00–3:00)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Grafik: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KM_0_7_overall.png, KM_0_7_cuminc.png.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„AKI häuft sich früh nach OP – klinisches Interventionsfenster.“</w:t>
      </w:r>
    </w:p>
    <w:p w14:paraId="5F5CB31B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5 – GLM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Hauptergebnisse (3:00–4:20)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Grafik: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Forest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Plot (S4_glm_cluster_or.csv).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 OR/h 1,147;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 OR 0,236; Alter OR/Jahr 0,861.“</w:t>
      </w:r>
    </w:p>
    <w:p w14:paraId="024FF365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6 – Interaktion Dauer ×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 (4:20–5:20)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Grafik: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interaction_slopes_forest.png.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„Erst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OP: OR/h ≈ 1,204;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OP: OR/h ≈ 0,811; p ≈ 3,9·10⁻⁴.“</w:t>
      </w:r>
    </w:p>
    <w:p w14:paraId="50392256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7 – ML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Baseline &amp; Validierung (5:20–6:20)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Grafik: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ROC/PR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Kurven.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„ML bestätigt Signal: 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0,637; 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0,538; Brier 0,238.“</w:t>
      </w:r>
    </w:p>
    <w:p w14:paraId="3AE7235F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8 – Implikationen &amp; Take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Home (6:20–7:00)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Bullets</w:t>
      </w:r>
      <w:proofErr w:type="spellEnd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Do₂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Ziele,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₂/NIRS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Monitoring, prospektive Validierung, CDSS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Integration.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Abschluss: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liefert reproduzierbare Evidenz;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ist priorisiert.“</w:t>
      </w:r>
    </w:p>
    <w:p w14:paraId="5044D418" w14:textId="77777777" w:rsidR="002B78A2" w:rsidRPr="001B25C4" w:rsidRDefault="005073E0" w:rsidP="002B78A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  <w:lang w:eastAsia="de-DE"/>
        </w:rPr>
        <w:pict w14:anchorId="4C536988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B897BB9" w14:textId="77777777" w:rsidR="002B78A2" w:rsidRPr="001B25C4" w:rsidRDefault="002B78A2" w:rsidP="002B78A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>2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Minuten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Diskussion – Q&amp;A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Cheat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Sheet</w:t>
      </w:r>
    </w:p>
    <w:p w14:paraId="645C74B2" w14:textId="77777777" w:rsidR="002B78A2" w:rsidRPr="001B25C4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Kausalität vs. Assoziation?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Antwort (≤20 s):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GLM modelliert Assoziationen; Interaktion testet Heterogenität. Für Kausalität: prospektive Designs/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Instrumentvariablen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; aktuell Hypothesengenerierung.</w:t>
      </w:r>
    </w:p>
    <w:p w14:paraId="49F5C0AE" w14:textId="77777777" w:rsidR="002B78A2" w:rsidRPr="001B25C4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Konfounder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Messbias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?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Antwort: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Justierung für Alter,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OP; 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 robust.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Effekt wahrscheinlich selektionsbedingt (z. B. stabilere Patienten). Sensitivitätsanalysen geplant (z. B. CPB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Zeit, Komorbiditäten, Zentren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Effekte).</w:t>
      </w:r>
    </w:p>
    <w:p w14:paraId="73EDC240" w14:textId="77777777" w:rsidR="002B78A2" w:rsidRPr="001B25C4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Generalisierbarkeit/Externe Validierung?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Antwort: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Single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System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Daten; methodisch reproduzierbar (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Pipelines). Nächster Schritt: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Multizenter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Validierung,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Pre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Reg, öffentliches Repro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Package.</w:t>
      </w:r>
    </w:p>
    <w:p w14:paraId="034218CD" w14:textId="77777777" w:rsidR="002B78A2" w:rsidRPr="001B25C4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lastRenderedPageBreak/>
        <w:t>Fehlende Werte/Qualitätssicherung?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Antwort: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 Systematische Prüfung; ~12 %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Missing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. Imputation/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Robustheits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Checks dokumentiert; Ergebnisse stabil gegenüber realistischen Annahmen.</w:t>
      </w:r>
    </w:p>
    <w:p w14:paraId="71FDDDD9" w14:textId="24A0911B" w:rsidR="002B78A2" w:rsidRPr="001B25C4" w:rsidRDefault="002B78A2" w:rsidP="001B2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₂/NIRS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Einbindung?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Antwort: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Klinisch plausibel und in Literatur gestützt; wird als Feature in Prospektiv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Phase ergänzt (Do₂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Ziele, NIRS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Trends).</w:t>
      </w:r>
    </w:p>
    <w:sectPr w:rsidR="002B78A2" w:rsidRPr="001B25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534"/>
    <w:multiLevelType w:val="multilevel"/>
    <w:tmpl w:val="35A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EA7"/>
    <w:multiLevelType w:val="multilevel"/>
    <w:tmpl w:val="4906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83609"/>
    <w:multiLevelType w:val="multilevel"/>
    <w:tmpl w:val="57A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B58A7"/>
    <w:multiLevelType w:val="multilevel"/>
    <w:tmpl w:val="8A50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0570D"/>
    <w:multiLevelType w:val="multilevel"/>
    <w:tmpl w:val="8954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003741">
    <w:abstractNumId w:val="1"/>
  </w:num>
  <w:num w:numId="2" w16cid:durableId="1256744011">
    <w:abstractNumId w:val="2"/>
  </w:num>
  <w:num w:numId="3" w16cid:durableId="2039500075">
    <w:abstractNumId w:val="4"/>
  </w:num>
  <w:num w:numId="4" w16cid:durableId="1832602148">
    <w:abstractNumId w:val="3"/>
  </w:num>
  <w:num w:numId="5" w16cid:durableId="97603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A2"/>
    <w:rsid w:val="001B25C4"/>
    <w:rsid w:val="002B78A2"/>
    <w:rsid w:val="005073E0"/>
    <w:rsid w:val="005C0C5A"/>
    <w:rsid w:val="007104FB"/>
    <w:rsid w:val="007B74CC"/>
    <w:rsid w:val="00A152FF"/>
    <w:rsid w:val="00D1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4993"/>
  <w15:chartTrackingRefBased/>
  <w15:docId w15:val="{BBC98BEF-1D89-6644-BDA0-4A48E1FC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8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78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78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78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78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78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78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78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78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78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78A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B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B78A2"/>
    <w:rPr>
      <w:b/>
      <w:bCs/>
    </w:rPr>
  </w:style>
  <w:style w:type="character" w:customStyle="1" w:styleId="apple-converted-space">
    <w:name w:val="apple-converted-space"/>
    <w:basedOn w:val="Absatz-Standardschriftart"/>
    <w:rsid w:val="002B78A2"/>
  </w:style>
  <w:style w:type="character" w:styleId="Hervorhebung">
    <w:name w:val="Emphasis"/>
    <w:basedOn w:val="Absatz-Standardschriftart"/>
    <w:uiPriority w:val="20"/>
    <w:qFormat/>
    <w:rsid w:val="002B78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1152</Words>
  <Characters>7264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Ali-Sadeh</dc:creator>
  <cp:keywords/>
  <dc:description/>
  <cp:lastModifiedBy>Fatemeh Ali-Sadeh</cp:lastModifiedBy>
  <cp:revision>3</cp:revision>
  <dcterms:created xsi:type="dcterms:W3CDTF">2025-08-15T08:03:00Z</dcterms:created>
  <dcterms:modified xsi:type="dcterms:W3CDTF">2025-08-15T08:12:00Z</dcterms:modified>
</cp:coreProperties>
</file>